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结汇、售汇及付汇管理规定</w:t>
      </w:r>
    </w:p>
    <w:p>
      <w:pPr>
        <w:pStyle w:val="3"/>
        <w:ind w:firstLine="640" w:firstLineChars="200"/>
        <w:rPr>
          <w:rFonts w:ascii="Times New Roman" w:hAnsi="Times New Roman" w:eastAsia="楷体_GB2312" w:cs="Times New Roman"/>
          <w:sz w:val="32"/>
          <w:szCs w:val="32"/>
        </w:rPr>
      </w:pPr>
    </w:p>
    <w:p>
      <w:pPr>
        <w:pStyle w:val="3"/>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bookmarkEnd w:id="0"/>
      <w:r>
        <w:rPr>
          <w:rFonts w:hint="eastAsia" w:ascii="楷体_GB2312" w:hAnsi="楷体_GB2312" w:eastAsia="楷体_GB2312" w:cs="楷体_GB2312"/>
          <w:sz w:val="32"/>
          <w:szCs w:val="32"/>
        </w:rPr>
        <w:t>国务院批准　1996年6月20日中国人民银行发布  自1996年7月1日起施行)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为规范结汇、售汇及付汇行为，实现人民币在经常项目下可兑换，特制定本规定。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经营外汇业务的银行应当按照本规定和中国人民银行、国家外汇管理局批准的业务范围办理结汇、售汇、开立外汇账户及对外支付业务。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境内机构外汇收入，除国家另有规定外应当及时调回境内。</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境内机构、居民个人、驻华机构及来华人员应当按照本规定办理结汇、购汇、开立外汇账户及对外支付。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境内机构和居民个人通过经营外汇业务的银行办理对外收支时，应当按照《国际收支统计申报办法》及有关规定办理国际收支统计申报。</w:t>
      </w:r>
    </w:p>
    <w:p>
      <w:pPr>
        <w:pStyle w:val="2"/>
        <w:rPr>
          <w:rFonts w:ascii="方正黑体_GBK"/>
        </w:rPr>
      </w:pPr>
      <w:r>
        <w:rPr>
          <w:rFonts w:hint="eastAsia" w:ascii="方正黑体_GBK" w:hAnsi="Times New Roman" w:cs="Times New Roman"/>
        </w:rPr>
        <w:t>第二章　经常项目下的结汇、售汇与付汇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除本规定第七条、第八条、第十条限定的范围和数量外，境内机构取得的下列外汇应当结汇：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(一)出口或者先支后收转口货物及其他交易行为收入的外汇。其中用跟单信用证/保函和跟单托收方式结算的贸易出口外汇可以凭有效商业单据结汇，用汇款方式结算的贸易出口外汇持出口收汇核销单结汇；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(二)境外贷款项下国际招标中标收入的外汇；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(三)海关监管下境内经营免税商品收入的外汇；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(四)交通运输(包括各种运输方式)及港口(含空港)、邮电(不包括国际汇兑款)、广告、咨询、展览、寄售、维修等行业及各类代理业务提供商品或者服务收入的外汇；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(五)行政、司法机关收入的各项外汇规费、罚没款等；</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(六)土地使用权、著作权、商标权、专利权、非专利技术、商誉等无形资产转让收入的外汇，但上述无形资产属于个人所有的，可不结汇；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(七)境外投资企业汇回的外汇利润、对外经援项下收回的外汇和境外资产的外汇收入；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(八)对外索赔收入的外汇、退回的外汇保证金等；</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(九)出租房地产和其他外汇资产收入的外汇；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(十)保险机构受理外汇保险所得外汇收入；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(十一)取得《经营外汇业务许可证》的金融机构经营外汇业务的净收入；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(十二)国外捐赠、资助及援助收入的外汇；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(十三)国家外汇管理局规定的其他应当结汇的外汇。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境内机构(不含外商投资企业)的下列外汇，可以向国家外汇管理局及其分支局(以下简称</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外汇局</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)申请，在经营外汇业务的银行开立外汇账户，按照规定办理结汇：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(一)经营境外承包工程、向境外提供劳务、技术合作及其他服务业务的公司，在上述业务项目进行过程中收到的业务往来外汇；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(二)从事代理对外或者境外业务的机构代收代付的外汇；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暂收待付或者暂收待结项下的外汇，包括境外汇入的投标保证金、履约保证金、先收后支的转口贸易收汇、邮电部门办理国际汇兑业务的外汇汇兑款、一类旅行社收取的国外旅游机构预付的外汇、铁路部门办理境外保价运输业务收取的外汇、海关收取的外汇保证金、抵押金等；</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(四)保险机构受理外汇保险、需向境外分保以及尚未结算的保费。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上述各项外汇的净收入，应当按照规定的时间全部卖给外汇指定银行。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捐赠、资助及援助合同规定用于境外支付的外汇，经外汇局批准后方可保留。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下列范围的外汇，可以保留：</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(一)外国驻华使领馆、国际组织及其他境外法人驻华机构的外汇；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(二)居民个人及来华人员的外汇。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外商投资企业经常项目下外汇收入可在外汇局核定的最高金额以内保留外汇，超出部分应当卖给外汇指定银行，或者通过外汇调剂中心卖出。</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超过等值1万美元的现钞结汇，结汇人应当向外汇指定银行提供真实的身份证明和外汇来源证明，外汇指定银行予以结汇登记后报外汇局备案。</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本规定第七、八、九、十条允许开立外汇账户的境内机构和居民个人、驻华机构及来华人员，应当按照外汇账户管理的有关规定，到经营外汇业务的银行办理开户手续。</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境内机构下列贸易及非贸易经营性对外支付用汇，持与支付方式相应的有效商业单据和所列有效凭证从其外汇账户中支付或者到外汇指定银行兑付：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用跟单信用证/保函方式结算的贸易进口，如需在开证时购汇，持进口合同、进口付汇核销单、开证申请书；如需在付汇时购汇，还应当提供信用证结算方式要求的有效商业单据。核销时必须凭正本进口货物报关单办理；</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(二)用跟单托收方式结算的贸易进口，持进口合同、进口付汇核销单、进口付汇通知书及跟单托收结算方式要求的有效商业单据。核销时必须凭正本进口货物报关单办理；</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(三)用汇款方式结算的贸易进口，持进口合同、进口付汇核销单、发票、正本进口货物报关单、正本运输单据，若提单上的</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提货人</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和报关单上的</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经营单位</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与进口合同中列明的买方名称不一致，还应当提供两者间的代理协议；</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(四)进口项下不超过合同总金额的15%或者虽超过15%但未超过等值10万美元的预付货款，持进口合同、进口付汇核销单；</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上述(一)至(四)项下进口，实行进口配额管理或者特定产品进口管理的货物，还应当提供有关部门签发的许可证或者进口证明；进口实行自动登记制的货物，还应当提供填好的登记表格。</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(五)进口项下的运输费、保险费，持进口合同、正本运输费收据和保险费收据；</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出口项下不超过合同总金额2%的暗佣(暗扣)和5%的明佣(明扣)或者虽超过上述比例但未超过等值1万美元的佣金，持出口合同或者佣金协议、结汇水单或者收账通知；出口项下的运输费、保险费，持出口合同、正本运输费收据和保险费收据；</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(七)进口项下的尾款，持进口合同、进口付汇核销单、验货合格证明；</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(八)进出口项下的资料费、技术费、信息费等从属费用，持进口合同或者出口合同、进口付汇核销单或者出口收汇核销单、发票或者收费单据及进口或者出口单位负责人签字的说明书；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(九)从保税区购买商品以及购买国外入境展览展品的用汇，持(一)至(八)项规定的有效凭证和有效商业单据；</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(十)专利权、著作权、商标、计算机软件等无形资产的进口，持进口合同或者协议；</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(十一)出口项下对外退赔外汇，持结汇水单或者收账通知、索赔协议、理赔证明和已冲减出口收汇核销的证明；</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(十二)境外承包工程所需的投标保证金持投标文件，履约保证金及垫付工程款项持合同。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境内机构下列贸易及非贸易经营性对外支付，经营外汇业务的银行凭用户提供的支付清单先从其外汇账户中支付或者兑付，事后核查：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(一)经国务院批准的免税品公司按照规定范围经营免税商品的进口支付；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(二)民航、海运、铁道部门(机构)支付境外国际联运费、设备维修费、站场港口使用费、燃料供应费、保险费、非融资性租赁费及其他服务费用；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(三)民航、海运、铁道部门(机构)支付国际营运人员伙食、津贴补助；</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(四)邮电部门支付国际邮政、电信业务费用。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境内机构下列对外支付用汇，由外汇局审核其真实性后，从其外汇账户中支付或者到外汇指定银行兑付：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(一)超过本规定第十三条(四)规定比例和金额的预付货款；</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(二)超过本规定第十三条(六)规定比例和金额的佣金；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(三)转口贸易项下先支后收的对外支付；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(四)偿还外债利息；</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(五)超过等值1万美元的现钞提取。</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境内机构偿还境内中资金融机构外汇贷款利息，持《外汇(转)贷款登记证》、借贷合同及债权人的付息通知单，从其外汇账户中支付或者到外汇指定银行兑付。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财政预算内的机关、事业单位和社会团体的非贸易非经营性用汇，按照《非贸易非经营性外汇财务管理暂行规定》办理。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财政预算外的境内机构下列非经营性用汇，持所列有效凭证从其外汇账户中支付或者到外汇指定银行兑付：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(一)在境外举办展览、招商、培训及拍摄影视片等用汇，持合同、境外机构的支付通知书及主管部门批准文件；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(二)对外宣传费、对外援助费、对外捐赠外汇、国际组织会费、参加国际会议的注册费、报名费，持主管部门的批准文件及有关函件；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(三)在境外设立代表处或者办事机构的开办费和年度预算经费，持主管部门批准设立该机构的批准文件和经费预算书；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(四)国家教委国外考试协调机构支付境外的考试费，持对外合同和国外考试机构的账单或者结算通知书；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(五)在境外办理商标、版权注册、申请专利和法律、咨询服务等所需费用，持合同和发票；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(六)因公出国费用，持国家授权部门出国任务批件。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上述(一)至(六)项以外的非经营性用汇，由外汇局审核其真实性以后，从其外汇账户中支付或者到外汇指定银行兑付。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居民个人的因私用汇，按照《境内居民因私兑换外汇办法》和《境内居民外汇存款汇出境外的规定》办理。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居民个人移居出境后，下列合法人民币收益，持本人身份证明和所列有效凭证到外汇局授权的外汇指定银行兑付：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(一)人民币存款利息，持人民币存款利息清单；</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(二)房产出租收入的租金，持房产租赁合同和房产出租管理部门的证明；</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(三)其他资产的收益，持有关的证明材料和收益清单。</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外商投资企业外方投资者依法纳税后的利润、红利的汇出，持董事会利润分配决议书，从其外汇账户中支付或者到外汇指定银行兑付。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外商投资企业中外籍、华侨、港澳台职工依法纳税后的人民币工资及其他正当收益，持证明材料到外汇指定银行兑付。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按照规定应当以外币支付的股息，依法纳税后持董事会利润分配决议书从其外汇账户中支付或者到外汇指定银行兑付。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驻华机构及来华人员的合法人民币收入，需汇出境外时，持证明材料和收费清单到外汇局授权的外汇指定银行兑付。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驻华机构及来华人员从境外携入或者在境内购买的自用物品、设备、用具等，出售后所得人民币款项，需汇出境外时，持工商登记证或者本人身份证明和出售凭证到外汇局授权的外汇指定银行兑付。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临时来华的外国人、华侨、港澳台同胞出境时未用完的人民币，可以凭本人护照、原兑换水单(有效期为6个月)兑回外汇，携出境外。</w:t>
      </w:r>
    </w:p>
    <w:p>
      <w:pPr>
        <w:pStyle w:val="2"/>
        <w:rPr>
          <w:rFonts w:ascii="方正黑体_GBK"/>
        </w:rPr>
      </w:pPr>
      <w:r>
        <w:rPr>
          <w:rFonts w:hint="eastAsia" w:ascii="方正黑体_GBK" w:hAnsi="Times New Roman" w:cs="Times New Roman"/>
        </w:rPr>
        <w:t>第三章　资本项目下的结汇、售汇与付汇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第二十六条　</w:t>
      </w:r>
      <w:r>
        <w:rPr>
          <w:rFonts w:hint="eastAsia" w:ascii="仿宋_GB2312" w:hAnsi="Times New Roman" w:eastAsia="仿宋_GB2312" w:cs="Times New Roman"/>
          <w:sz w:val="32"/>
          <w:szCs w:val="32"/>
        </w:rPr>
        <w:t>境内机构资本项目下的外汇应当在经营外汇业务的银行开立外汇账户。</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第二十七条　</w:t>
      </w:r>
      <w:r>
        <w:rPr>
          <w:rFonts w:hint="eastAsia" w:ascii="仿宋_GB2312" w:hAnsi="Times New Roman" w:eastAsia="仿宋_GB2312" w:cs="Times New Roman"/>
          <w:sz w:val="32"/>
          <w:szCs w:val="32"/>
        </w:rPr>
        <w:t>境内机构下列范围内的外汇，未经外汇局批准，不得结汇：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(一)境外法人或自然人作为投资汇入的外汇；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(二)境外借款及发行外币债券、股票取得的外汇；</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(三)经国家外汇管理局批准的其他资本项目下外汇收入。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除出口押汇外的国内外汇贷款和中资企业借入的国际商业贷款不得结汇。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第二十八条　</w:t>
      </w:r>
      <w:r>
        <w:rPr>
          <w:rFonts w:hint="eastAsia" w:ascii="仿宋_GB2312" w:hAnsi="Times New Roman" w:eastAsia="仿宋_GB2312" w:cs="Times New Roman"/>
          <w:sz w:val="32"/>
          <w:szCs w:val="32"/>
        </w:rPr>
        <w:t>境内机构向境外出售房地产及其他资产收入的外汇，除本规定第十条限定的数额外应当卖给外汇指定银行。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第二十九条　</w:t>
      </w:r>
      <w:r>
        <w:rPr>
          <w:rFonts w:hint="eastAsia" w:ascii="仿宋_GB2312" w:hAnsi="Times New Roman" w:eastAsia="仿宋_GB2312" w:cs="Times New Roman"/>
          <w:sz w:val="32"/>
          <w:szCs w:val="32"/>
        </w:rPr>
        <w:t>境内机构偿还境内中资金融机构外汇贷款本金，持《外汇(转)贷款登记证》、借贷合同及债权机构的还本通知单，从其外汇账户中支付或者到外汇指定银行兑付。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第三十条　</w:t>
      </w:r>
      <w:r>
        <w:rPr>
          <w:rFonts w:hint="eastAsia" w:ascii="仿宋_GB2312" w:hAnsi="Times New Roman" w:eastAsia="仿宋_GB2312" w:cs="Times New Roman"/>
          <w:sz w:val="32"/>
          <w:szCs w:val="32"/>
        </w:rPr>
        <w:t>境内机构资本项目下的下列用汇，持所列有效凭证向外汇局申请，凭外汇局的核准件从其外汇账户中支付或者到外汇指定银行兑付：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(一)偿还外债本金，持《外债登记证》、借贷合同及债权机构还本通知单；</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(二)对外担保履约用汇，持担保合同、外汇局核发的《外汇担保登记证》及境外机构支付通知；</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(三)境外投资资金的汇出，持国家主管部门的批准文件和投资合同；</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(四)外商投资企业的中方投资者经批准需以外汇投入的注册资金，持国家主管部门的批准文件和合同。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第三十一条　</w:t>
      </w:r>
      <w:r>
        <w:rPr>
          <w:rFonts w:hint="eastAsia" w:ascii="仿宋_GB2312" w:hAnsi="Times New Roman" w:eastAsia="仿宋_GB2312" w:cs="Times New Roman"/>
          <w:sz w:val="32"/>
          <w:szCs w:val="32"/>
        </w:rPr>
        <w:t>外商投资企业的外汇资本金的增加、转让或者以其他方式处置，持董事会决议，经外汇局核准后，从其外汇账户中支付或者持外汇局核发的售汇通知单到外汇指定银行兑付。</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投资性外商投资企业外汇资本金在境内投资及外方所得利润在境内增资或者再投资，持外汇局核准件办理。</w:t>
      </w:r>
    </w:p>
    <w:p>
      <w:pPr>
        <w:pStyle w:val="2"/>
        <w:rPr>
          <w:rFonts w:ascii="方正黑体_GBK"/>
        </w:rPr>
      </w:pPr>
      <w:r>
        <w:rPr>
          <w:rFonts w:hint="eastAsia" w:ascii="方正黑体_GBK" w:hAnsi="Times New Roman" w:cs="Times New Roman"/>
        </w:rPr>
        <w:t>第四章　结汇、售汇及付汇的监管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第三十二条　</w:t>
      </w:r>
      <w:r>
        <w:rPr>
          <w:rFonts w:hint="eastAsia" w:ascii="仿宋_GB2312" w:hAnsi="Times New Roman" w:eastAsia="仿宋_GB2312" w:cs="Times New Roman"/>
          <w:sz w:val="32"/>
          <w:szCs w:val="32"/>
        </w:rPr>
        <w:t>外商投资企业可以在外汇指定银行办理结汇和售汇，也可以在外汇调剂中心买卖外汇，其他境内机构、居民个人、驻华机构及来华人员只能在外汇指定银行办理结汇和售汇。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第三十三条　</w:t>
      </w:r>
      <w:r>
        <w:rPr>
          <w:rFonts w:hint="eastAsia" w:ascii="仿宋_GB2312" w:hAnsi="Times New Roman" w:eastAsia="仿宋_GB2312" w:cs="Times New Roman"/>
          <w:sz w:val="32"/>
          <w:szCs w:val="32"/>
        </w:rPr>
        <w:t>从外汇账户中对外支付时，经营外汇业务的银行应当根据规定的外汇账户收支范围及本规定第二、三章相应的规定进行审核，办理支付。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第三十四条　</w:t>
      </w:r>
      <w:r>
        <w:rPr>
          <w:rFonts w:hint="eastAsia" w:ascii="仿宋_GB2312" w:hAnsi="Times New Roman" w:eastAsia="仿宋_GB2312" w:cs="Times New Roman"/>
          <w:sz w:val="32"/>
          <w:szCs w:val="32"/>
        </w:rPr>
        <w:t>外汇指定银行办理售汇和付汇后，应当在相应的有效凭证和有效商业单据上签章后留存备查。</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第三十五条　</w:t>
      </w:r>
      <w:r>
        <w:rPr>
          <w:rFonts w:hint="eastAsia" w:ascii="仿宋_GB2312" w:hAnsi="Times New Roman" w:eastAsia="仿宋_GB2312" w:cs="Times New Roman"/>
          <w:sz w:val="32"/>
          <w:szCs w:val="32"/>
        </w:rPr>
        <w:t>外汇指定银行应当根据中国人民银行每日公布的人民币汇率中间价和规定的买卖差价幅度，确定对客户的外汇买卖价格，办理结汇和售汇业务。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第三十六条　</w:t>
      </w:r>
      <w:r>
        <w:rPr>
          <w:rFonts w:hint="eastAsia" w:ascii="仿宋_GB2312" w:hAnsi="Times New Roman" w:eastAsia="仿宋_GB2312" w:cs="Times New Roman"/>
          <w:sz w:val="32"/>
          <w:szCs w:val="32"/>
        </w:rPr>
        <w:t>从外汇账户中支付或者购汇支付，应当在有关结算方式或者合同规定的日期办理，不得提前对外付款；除用于还本付息的外汇和信用证/保函保证金外，不得提前购汇。</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第三十七条　</w:t>
      </w:r>
      <w:r>
        <w:rPr>
          <w:rFonts w:hint="eastAsia" w:ascii="仿宋_GB2312" w:hAnsi="Times New Roman" w:eastAsia="仿宋_GB2312" w:cs="Times New Roman"/>
          <w:sz w:val="32"/>
          <w:szCs w:val="32"/>
        </w:rPr>
        <w:t>为使有远期支付合同或者偿债协议的用汇单位避免汇率风险，外汇指定银行可以按照有关规定为其办理人民币与外币的远期买卖及其他保值业务。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第三十八条　</w:t>
      </w:r>
      <w:r>
        <w:rPr>
          <w:rFonts w:hint="eastAsia" w:ascii="仿宋_GB2312" w:hAnsi="Times New Roman" w:eastAsia="仿宋_GB2312" w:cs="Times New Roman"/>
          <w:sz w:val="32"/>
          <w:szCs w:val="32"/>
        </w:rPr>
        <w:t>易货贸易项下进口，未经外汇局批准，不得购汇或者从外汇账户支付。</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第三十九条　</w:t>
      </w:r>
      <w:r>
        <w:rPr>
          <w:rFonts w:hint="eastAsia" w:ascii="仿宋_GB2312" w:hAnsi="Times New Roman" w:eastAsia="仿宋_GB2312" w:cs="Times New Roman"/>
          <w:sz w:val="32"/>
          <w:szCs w:val="32"/>
        </w:rPr>
        <w:t>经营外汇业务的银行应当按照规定向外汇局报送结汇、售汇及付汇情况报表。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外汇指定银行应当建立结售汇内部监管制度，遇有结售汇异常情况，应当及时向国家外汇管理局当地分支局报告。</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第四十条　</w:t>
      </w:r>
      <w:r>
        <w:rPr>
          <w:rFonts w:hint="eastAsia" w:ascii="仿宋_GB2312" w:hAnsi="Times New Roman" w:eastAsia="仿宋_GB2312" w:cs="Times New Roman"/>
          <w:sz w:val="32"/>
          <w:szCs w:val="32"/>
        </w:rPr>
        <w:t>境内机构应当在其注册地选择经营外汇业务的银行开立外汇账户、按照本规定办理结汇、购汇、付汇业务。境内机构在异地和境外开立外汇账户，应当向外汇局申请。</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外商投资企业经常项下的外汇收入，经批准可以在注册地选择经营外汇业务的银行开立外汇结算账户。</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第四十一条　</w:t>
      </w:r>
      <w:r>
        <w:rPr>
          <w:rFonts w:hint="eastAsia" w:ascii="仿宋_GB2312" w:hAnsi="Times New Roman" w:eastAsia="仿宋_GB2312" w:cs="Times New Roman"/>
          <w:sz w:val="32"/>
          <w:szCs w:val="32"/>
        </w:rPr>
        <w:t>经营外汇业务的银行和有结汇、购汇、付汇业务的境内机构，应当无条件接受外汇局的监督、检查，并出示、提供有关材料。对违反本规定的，外汇局可对其处以警告、没收违法所得、罚款的处罚；对违反本规定，情节严重的经营外汇业务的银行，外汇局可对其处以暂停结售汇业务的处罚。</w:t>
      </w:r>
    </w:p>
    <w:p>
      <w:pPr>
        <w:pStyle w:val="2"/>
        <w:rPr>
          <w:rFonts w:ascii="方正黑体_GBK"/>
        </w:rPr>
      </w:pPr>
      <w:r>
        <w:rPr>
          <w:rFonts w:hint="eastAsia" w:ascii="方正黑体_GBK" w:hAnsi="Times New Roman" w:cs="Times New Roman"/>
        </w:rPr>
        <w:t>第五章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第四十二条　</w:t>
      </w:r>
      <w:r>
        <w:rPr>
          <w:rFonts w:hint="eastAsia" w:ascii="仿宋_GB2312" w:hAnsi="Times New Roman" w:eastAsia="仿宋_GB2312" w:cs="Times New Roman"/>
          <w:sz w:val="32"/>
          <w:szCs w:val="32"/>
        </w:rPr>
        <w:t>本规定由国家外汇管理局负责解释。</w:t>
      </w:r>
    </w:p>
    <w:p>
      <w:pPr>
        <w:ind w:firstLine="640" w:firstLineChars="200"/>
        <w:rPr>
          <w:rFonts w:hint="eastAsia" w:ascii="仿宋_GB2312" w:eastAsia="仿宋_GB2312"/>
        </w:rPr>
      </w:pPr>
      <w:r>
        <w:rPr>
          <w:rFonts w:ascii="Times New Roman" w:hAnsi="Times New Roman" w:eastAsia="黑体" w:cs="Times New Roman"/>
          <w:sz w:val="32"/>
          <w:szCs w:val="32"/>
        </w:rPr>
        <w:t>第四十三条　</w:t>
      </w:r>
      <w:r>
        <w:rPr>
          <w:rFonts w:hint="eastAsia" w:ascii="仿宋_GB2312" w:hAnsi="Times New Roman" w:eastAsia="仿宋_GB2312" w:cs="Times New Roman"/>
          <w:sz w:val="32"/>
          <w:szCs w:val="32"/>
        </w:rPr>
        <w:t>本规定自1996年7月1日起施行。1994年3月26日发布的《结汇、售汇及付汇管理暂行规定》同时废止。其他规定与本规定相抵触的，以本规定为准。</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libri Light">
    <w:altName w:val="Latha"/>
    <w:panose1 w:val="020F0302020204030204"/>
    <w:charset w:val="00"/>
    <w:family w:val="swiss"/>
    <w:pitch w:val="default"/>
    <w:sig w:usb0="00000000" w:usb1="00000000" w:usb2="00000000" w:usb3="00000000" w:csb0="0000019F" w:csb1="00000000"/>
  </w:font>
  <w:font w:name="方正黑体_GBK">
    <w:altName w:val="微软雅黑"/>
    <w:panose1 w:val="03000509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egoe UI">
    <w:panose1 w:val="020B0502040204020203"/>
    <w:charset w:val="00"/>
    <w:family w:val="auto"/>
    <w:pitch w:val="default"/>
    <w:sig w:usb0="E00022FF" w:usb1="C000205B" w:usb2="00000009" w:usb3="00000000" w:csb0="200001DF" w:csb1="20080000"/>
  </w:font>
  <w:font w:name="微软雅黑">
    <w:panose1 w:val="020B0503020204020204"/>
    <w:charset w:val="86"/>
    <w:family w:val="auto"/>
    <w:pitch w:val="default"/>
    <w:sig w:usb0="80000287" w:usb1="2A0F3C52" w:usb2="00000016" w:usb3="00000000" w:csb0="0004001F"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C6F0557"/>
    <w:rsid w:val="004E06C7"/>
    <w:rsid w:val="00661F2F"/>
    <w:rsid w:val="00727385"/>
    <w:rsid w:val="00906858"/>
    <w:rsid w:val="00EA3BB7"/>
    <w:rsid w:val="00F246C6"/>
    <w:rsid w:val="02CF68CD"/>
    <w:rsid w:val="161920FD"/>
    <w:rsid w:val="1AFC0548"/>
    <w:rsid w:val="1C6F0557"/>
    <w:rsid w:val="20696116"/>
    <w:rsid w:val="2BD00CAC"/>
    <w:rsid w:val="2D4413FB"/>
    <w:rsid w:val="31472C78"/>
    <w:rsid w:val="34A26E08"/>
    <w:rsid w:val="37DE4CBC"/>
    <w:rsid w:val="51D82B9F"/>
    <w:rsid w:val="6C5E570F"/>
    <w:rsid w:val="7616039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HAnsi" w:hAnsiTheme="majorHAnsi"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838</Words>
  <Characters>4777</Characters>
  <Lines>39</Lines>
  <Paragraphs>11</Paragraphs>
  <TotalTime>2</TotalTime>
  <ScaleCrop>false</ScaleCrop>
  <LinksUpToDate>false</LinksUpToDate>
  <CharactersWithSpaces>5604</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2019-05-22T14:16:00Z</dcterms:created>
  <dc:creator>Administrator</dc:creator>
  <cp:lastModifiedBy>Administrator</cp:lastModifiedBy>
  <dcterms:modified xsi:type="dcterms:W3CDTF">2019-08-28T07:26:57Z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