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蓄滞洪区运用补偿暂行办法</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(2000年5月23日国务院第28次常务会议通过　2000年5月27日中华人民共和国国务院令第286号发布　自发布之日起施行)</w:t>
      </w:r>
    </w:p>
    <w:p>
      <w:pPr>
        <w:pStyle w:val="2"/>
        <w:jc w:val="center"/>
        <w:rPr>
          <w:rFonts w:ascii="方正黑体_GBK" w:eastAsia="方正黑体_GBK"/>
        </w:rPr>
      </w:pPr>
      <w:r>
        <w:rPr>
          <w:rFonts w:hint="eastAsia" w:ascii="方正黑体_GBK" w:hAnsi="Times New Roman" w:eastAsia="方正黑体_GBK" w:cs="Times New Roman"/>
        </w:rPr>
        <w:t>第一章　总</w:t>
      </w:r>
      <w:bookmarkStart w:id="0" w:name="_GoBack"/>
      <w:bookmarkEnd w:id="0"/>
      <w:r>
        <w:rPr>
          <w:rFonts w:hint="eastAsia" w:ascii="方正黑体_GBK" w:hAnsi="Times New Roman" w:eastAsia="方正黑体_GBK"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为了保障蓄滞洪区的正常运用，确保受洪水威胁的重点地区的防洪安全，合理补偿蓄滞洪区内居民因蓄滞洪遭受的损失，根据《中华人民共和国防洪法》，制定本办法。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本办法适用于附录所列国家蓄滞洪区。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依照《中华人民共和国防洪法》的规定，国务院或者国务院水行政主管部门批准的防洪规划或者防御洪水方案需要修改，并相应调整国家蓄滞洪区时，由国务院水行政主管部门对本办法附录提出修订意见，报国务院批准、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蓄滞洪区运用补偿，遵循下列原则：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(一)保障蓄滞洪区居民的基本生活；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(二)有利于蓄滞洪区恢复农业生产；</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(三)与国家财政承受能力相适应。</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蓄滞洪区所在地的各级地方人民政府应当按照国家有关规定，加强蓄滞洪区的安全建设和管理，调整产业结构，控制人口增长，有计划地组织人口外迁。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蓄滞洪区运用前，蓄滞洪区所在地的各级地方人民政府应当组织有关部门和单位做好蓄滞洪区内人员、财产的转移和保护工作，尽量减少蓄滞洪造成的损失。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国务院财政主管部门和国务院水行政主管部门依照本办法的规定，负责全国蓄滞洪区运用补偿工作的组织实施和监督管理。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国务院水行政主管部门在国家确定的重要江河、湖泊设立的流域管理机构，对所辖区域内蓄滞洪区运用补偿工作实施监督、指导。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蓄滞洪区所在地的地方各级人民政府依照本办法的规定，负责本行政区域内蓄滞洪区运用补偿工作的具体实施和管理。上一级人民政府应当对下一级人民政府的蓄滞洪区运用补偿工作实施监督。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蓄滞洪区所在地的县级以上地方人民政府有关部门在本级人民政府规定的职责范围内，负责蓄滞洪区运用补偿的有关工作。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任何组织和个人不得骗取、侵吞和挪用蓄滞洪区运用补偿资金。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审计机关应当加强对蓄滞洪区运用补偿资金的管理和使用情况的审计监督。</w:t>
      </w:r>
    </w:p>
    <w:p>
      <w:pPr>
        <w:pStyle w:val="2"/>
        <w:jc w:val="center"/>
        <w:rPr>
          <w:rFonts w:ascii="方正黑体_GBK" w:eastAsia="方正黑体_GBK"/>
        </w:rPr>
      </w:pPr>
      <w:r>
        <w:rPr>
          <w:rFonts w:hint="eastAsia" w:ascii="方正黑体_GBK" w:hAnsi="Times New Roman" w:eastAsia="方正黑体_GBK" w:cs="Times New Roman"/>
        </w:rPr>
        <w:t>第二章　补偿对象、范围和标准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蓄滞洪区内具有常住户口的居民(以下简称区内居民)，在蓄滞洪区运用后，依照本办法的规定获得补偿。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区内居民除依照本办法获得蓄滞洪区运用补偿外，同时按照国家有关规定享受与其他洪水灾区灾民同样的政府救助和社会捐助。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蓄滞洪区运用后，对区内居民遭受的下列损失给予补偿：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(一)农作物、专业养殖和经济林水毁损失；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(二)住房水毁损失；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(三)无法转移的家庭农业生产机械和役畜以及家庭主要耐用消费品水毁损失。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蓄滞洪区运用后造成的下列损失，不予补偿：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(一)根据国家有关规定，应当退田而拒不退田，应当迁出而拒不迁出，或者退田、迁出后擅自返耕、返迁造成的水毁损失；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(二)违反蓄滞洪区安全建设规划或者方案建造的住房水毁损失；</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(三)按照转移命令能转移而未转移的家庭农业生产机械和役畜以及家庭主要耐用消费品水毁损失。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蓄滞洪区运用后，按照下列标准给予补偿：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(一)农作物、专业养殖和经济林，分别按照蓄滞洪前</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年平均年产值的50%</w:t>
      </w:r>
      <w:r>
        <w:rPr>
          <w:rFonts w:hint="eastAsia" w:ascii="Times New Roman" w:hAnsi="Times New Roman" w:eastAsia="仿宋_GB2312" w:cs="Times New Roman"/>
          <w:sz w:val="32"/>
          <w:szCs w:val="32"/>
          <w:lang w:eastAsia="zh-CN"/>
        </w:rPr>
        <w:t>—</w:t>
      </w:r>
      <w:r>
        <w:rPr>
          <w:rFonts w:ascii="Times New Roman" w:hAnsi="Times New Roman" w:eastAsia="仿宋_GB2312" w:cs="Times New Roman"/>
          <w:sz w:val="32"/>
          <w:szCs w:val="32"/>
        </w:rPr>
        <w:t>70%、40%</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50%、40%</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50%补偿，具体补偿标准由蓄滞洪区所在地的省级人民政府根据蓄滞洪后的实际水毁情况在上述规定的幅度内确定。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(二)住房，按照水毁损失的70%补偿。</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家庭农业生产机械和役畜以及家庭主要耐用消费品，按照水毁损失的50%补偿。但是，家庭农业生产机械和役畜以及家庭主要耐用消费品的登记总价值在2000元以下的，按照水毁损失的100%补偿；水毁损失超过2000元不足4000元的，按照2000元补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已下达蓄滞洪转移命令，因情况变化未实施蓄滞洪造成损失的，给予适当补偿。</w:t>
      </w:r>
    </w:p>
    <w:p>
      <w:pPr>
        <w:pStyle w:val="2"/>
        <w:jc w:val="center"/>
        <w:rPr>
          <w:rFonts w:ascii="方正黑体_GBK" w:eastAsia="方正黑体_GBK"/>
        </w:rPr>
      </w:pPr>
      <w:r>
        <w:rPr>
          <w:rFonts w:hint="eastAsia" w:ascii="方正黑体_GBK" w:hAnsi="Times New Roman" w:eastAsia="方正黑体_GBK" w:cs="Times New Roman"/>
        </w:rPr>
        <w:t>第三章　补偿程序</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蓄滞洪区所在地的县级人民政府应当组织有关部门和乡(镇)人民政府(含街道办事处，下同)对区内居民的承包土地、住房、家庭农业生产机械和役畜以及家庭主要耐用消费品逐户进行登记，并由村(居)民委员会张榜公布；在规定时间内村(居)民无异议的，由县、乡、村分级建档立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以村或者居民委员会为单位进行财产登记时，应当有村(居)民委员会干部、村(居)民代表参加。</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已登记公布的区内居民的承包土地、住房或者其他财产发生变更时，村(居)民委员会应当于每年汛前汇总，并向乡(镇)人民政府提出财产变更登记申请，由乡(镇)人民政府核实登记后，报蓄滞洪区所在地的县级人民政府指定的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蓄滞洪区所在地的县级人民政府应当及时将区内居民的承包土地、住房、家庭农业生产机械和役畜以及家庭主要耐用消费品的登记情况及变更登记情况汇总后抄报所在流域管理机构备案。流域管理机构应当根据每年汛期预报，对财产登记及变更登记情况进行必要的抽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蓄滞洪区运用后，蓄滞洪区所在地的县级人民政府应当及时组织有关部门和乡(镇)人民政府核查区内居民损失情况，按照规定的补偿标准，提出补偿方案，经省级人民政府或者其授权的主管部门核实后，由省级人民政府上报国务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以村或者居民委员会为单位核查损失时，应当有村(居)民委员会干部、村(居)民代表参加，并对损失情况张榜公布。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省级人民政府上报的补偿方案，由国务院财政主管部门和国务院水行政主管部门负责审查、核定，提出补偿资金的总额，报国务院批准后下达。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省级人民政府在上报补偿方案时，应当附具所在流域管理机构签署的意见。</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蓄滞洪区运用补偿资金由中央财政和蓄滞洪区所在地的省级财政共同承担；具体承担比例由国务院财政主管部门根据蓄滞洪后的实际损失情况和省级财政收入水平拟定，报国务院批准。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蓄滞洪区运用后，补偿资金应当及时、足额拨付到位。资金拨付和管理办法由国务院财政主管部门会同国务院水行政主管部门制定。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蓄滞洪区所在地的县级人民政府在补偿资金拨付到位后，应当及时制定具体补偿方案，由乡(镇)人民政府逐户确定具体补偿金额，并由村(居)民委员会张榜公布。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补偿金额公布无异议后，由乡(镇)人民政府组织发放补偿凭证，区内居民持补偿凭证、村(居)民委员会出具的证明和身份证明到县级财政主管部门指定的机构领取补偿金。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流域管理机构应当加强对所辖区域内补偿资金发放情况的监督，必要时应当会同省级人民政府或者其授权的主管部门进行调查，并及时将补偿资金总的发放情况上报国务院财政主管部门和国务院水行政主管部门，同时抄送省级人民政府。</w:t>
      </w:r>
    </w:p>
    <w:p>
      <w:pPr>
        <w:pStyle w:val="2"/>
        <w:jc w:val="center"/>
        <w:rPr>
          <w:rFonts w:ascii="方正黑体_GBK" w:eastAsia="方正黑体_GBK"/>
        </w:rPr>
      </w:pPr>
      <w:r>
        <w:rPr>
          <w:rFonts w:hint="eastAsia" w:ascii="方正黑体_GBK" w:hAnsi="Times New Roman" w:eastAsia="方正黑体_GBK" w:cs="Times New Roman"/>
        </w:rPr>
        <w:t>第四章　罚则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有下列行为之一的，由蓄滞洪区所在地的县级以上地方人民政府责令立即改正，并对直接负责的主管人员和其他直接责任人员依法给予行政处分：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(一)在财产登记工作中弄虚作假的；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(二)在蓄滞洪区运用补偿过程中谎报、虚报损失的。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骗取、侵吞或者挪用补偿资金，构成犯罪的，依法追究刑事责任；尚不构成犯罪的，依法给予行政处分。</w:t>
      </w:r>
    </w:p>
    <w:p>
      <w:pPr>
        <w:pStyle w:val="2"/>
        <w:jc w:val="center"/>
        <w:rPr>
          <w:rFonts w:ascii="方正黑体_GBK" w:eastAsia="方正黑体_GBK"/>
        </w:rPr>
      </w:pPr>
      <w:r>
        <w:rPr>
          <w:rFonts w:hint="eastAsia" w:ascii="方正黑体_GBK" w:hAnsi="Times New Roman" w:eastAsia="方正黑体_GBK" w:cs="Times New Roman"/>
        </w:rPr>
        <w:t>第五章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本办法规定的财产登记、财产变更登记等有关文书格式，由国务院水行政主管部门统一制订，蓄滞洪区所在地的省级人民政府水行政主管部门负责印制。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财产登记、财产变更登记不得向区内居民收取任何费用，所需费用由蓄滞洪区所在地县级人民政府统筹解决。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省级人民政府批准的防洪规划或者防御洪水方案中确定的蓄滞洪区的运用补偿办法，由有关省级人民政府制定。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本办法自发布之日起施行。</w:t>
      </w:r>
    </w:p>
    <w:p>
      <w:pPr>
        <w:pStyle w:val="3"/>
        <w:ind w:firstLine="640" w:firstLineChars="200"/>
        <w:rPr>
          <w:rFonts w:ascii="Times New Roman" w:hAnsi="Times New Roman" w:eastAsia="仿宋_GB2312" w:cs="Times New Roman"/>
          <w:sz w:val="32"/>
          <w:szCs w:val="32"/>
        </w:rPr>
      </w:pPr>
    </w:p>
    <w:p>
      <w:pPr>
        <w:pStyle w:val="3"/>
        <w:ind w:firstLine="640" w:firstLineChars="200"/>
        <w:rPr>
          <w:rFonts w:ascii="Times New Roman" w:hAnsi="Times New Roman" w:eastAsia="仿宋_GB2312" w:cs="Times New Roman"/>
          <w:sz w:val="32"/>
          <w:szCs w:val="32"/>
        </w:rPr>
      </w:pPr>
    </w:p>
    <w:p>
      <w:pPr>
        <w:pStyle w:val="3"/>
        <w:ind w:firstLine="640" w:firstLineChars="200"/>
        <w:rPr>
          <w:rFonts w:ascii="Times New Roman" w:hAnsi="Times New Roman" w:eastAsia="仿宋_GB2312" w:cs="Times New Roman"/>
          <w:sz w:val="32"/>
          <w:szCs w:val="32"/>
        </w:rPr>
      </w:pPr>
    </w:p>
    <w:p>
      <w:pPr>
        <w:pStyle w:val="3"/>
        <w:ind w:firstLine="640" w:firstLineChars="200"/>
        <w:rPr>
          <w:rFonts w:ascii="Times New Roman" w:hAnsi="Times New Roman" w:eastAsia="仿宋_GB2312" w:cs="Times New Roman"/>
          <w:sz w:val="32"/>
          <w:szCs w:val="32"/>
        </w:rPr>
      </w:pPr>
    </w:p>
    <w:p>
      <w:pPr>
        <w:pStyle w:val="3"/>
        <w:ind w:firstLine="640" w:firstLineChars="200"/>
        <w:rPr>
          <w:rFonts w:ascii="Times New Roman" w:hAnsi="Times New Roman" w:eastAsia="仿宋_GB2312" w:cs="Times New Roman"/>
          <w:sz w:val="32"/>
          <w:szCs w:val="32"/>
        </w:rPr>
      </w:pPr>
    </w:p>
    <w:p>
      <w:pPr>
        <w:pStyle w:val="3"/>
        <w:rPr>
          <w:rFonts w:ascii="Times New Roman" w:hAnsi="Times New Roman" w:cs="Times New Roman"/>
          <w:sz w:val="32"/>
          <w:szCs w:val="32"/>
        </w:rPr>
      </w:pPr>
      <w:r>
        <w:rPr>
          <w:rFonts w:ascii="Times New Roman" w:hAnsi="Times New Roman" w:eastAsia="黑体" w:cs="Times New Roman"/>
          <w:sz w:val="32"/>
          <w:szCs w:val="32"/>
        </w:rPr>
        <w:t>附：</w:t>
      </w:r>
    </w:p>
    <w:p>
      <w:pPr>
        <w:pStyle w:val="3"/>
        <w:ind w:firstLine="640" w:firstLineChars="200"/>
        <w:jc w:val="center"/>
        <w:rPr>
          <w:rFonts w:ascii="Times New Roman" w:hAnsi="Times New Roman" w:eastAsia="黑体" w:cs="Times New Roman"/>
          <w:sz w:val="32"/>
          <w:szCs w:val="32"/>
        </w:rPr>
      </w:pPr>
      <w:r>
        <w:rPr>
          <w:rFonts w:ascii="Times New Roman" w:hAnsi="Times New Roman" w:eastAsia="黑体" w:cs="Times New Roman"/>
          <w:sz w:val="32"/>
          <w:szCs w:val="32"/>
        </w:rPr>
        <w:t>国家蓄滞洪区名录</w:t>
      </w:r>
    </w:p>
    <w:p>
      <w:pPr>
        <w:pStyle w:val="3"/>
        <w:ind w:firstLine="640" w:firstLineChars="200"/>
        <w:rPr>
          <w:rFonts w:ascii="Times New Roman" w:hAnsi="Times New Roman" w:cs="Times New Roman"/>
          <w:sz w:val="32"/>
          <w:szCs w:val="32"/>
        </w:rPr>
      </w:pPr>
    </w:p>
    <w:p>
      <w:pPr>
        <w:pStyle w:val="3"/>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长江流域：围堤湖、六角山、九垸、西官垸、安澧垸、澧南垸、安昌垸、安化垸、南顶垸、和康垸、南汉垸、民主垸、共双茶、城西垸、屈原农场、义和垸、北湖垸、集成安合、钱粮湖、建设垸、建新农场、君山农场、大通湖东、江南陆城、荆江分洪区、宛市扩建区、虎西备蓄区、人民大垸、洪湖分洪区、杜家台、西凉湖、东西湖、武湖、张渡湖、白潭湖、康山圩、珠湖圩、黄湖圩、方洲斜塘、华阳河。(共40个)</w:t>
      </w:r>
    </w:p>
    <w:p>
      <w:pPr>
        <w:pStyle w:val="3"/>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黄河流域：北金堤、东平湖、北展宽区、南展宽区、大功。(共5个)</w:t>
      </w:r>
    </w:p>
    <w:p>
      <w:pPr>
        <w:pStyle w:val="3"/>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海河流域：永定河泛区、小清河分洪区、东淀、文安洼、贾口洼、兰沟洼、宁晋泊、大陆泽、良相坡、长虹渠、白寺坡、大名泛区、恩县洼、盛庄洼、青甸洼、黄庄洼、大黄铺洼、三角淀、白洋淀、小滩坡、任固坡、共渠西、广润坡、团泊洼、永年洼、献县泛区。(共26个)</w:t>
      </w:r>
    </w:p>
    <w:p>
      <w:pPr>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淮河流域：蒙洼、城西湖、城东湖、瓦埠湖、老汪湖、泥河洼、老王坡、蛟停湖、黄墩湖、南润段、邱家湖、姜家湖、唐垛湖、寿西湖、董峰湖、上六坊堤、下六坊堤、石姚湾、洛河洼、汤渔湖、荆山湖、方邱湖、临北段、花园湖、香浮段、潘村洼。(共26个)</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rPr>
                    <w:sz w:val="24"/>
                    <w:szCs w:val="24"/>
                  </w:rPr>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74140C5"/>
    <w:rsid w:val="00356165"/>
    <w:rsid w:val="005E129D"/>
    <w:rsid w:val="00F83305"/>
    <w:rsid w:val="0C3F0BE1"/>
    <w:rsid w:val="2F3C44AE"/>
    <w:rsid w:val="2F9E4DC3"/>
    <w:rsid w:val="45C42A0B"/>
    <w:rsid w:val="4DC53317"/>
    <w:rsid w:val="574140C5"/>
    <w:rsid w:val="62FC0990"/>
    <w:rsid w:val="7D911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527</Words>
  <Characters>3008</Characters>
  <Lines>25</Lines>
  <Paragraphs>7</Paragraphs>
  <TotalTime>5</TotalTime>
  <ScaleCrop>false</ScaleCrop>
  <LinksUpToDate>false</LinksUpToDate>
  <CharactersWithSpaces>3528</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2019-05-22T15:25:00Z</dcterms:created>
  <dc:creator>Administrator</dc:creator>
  <cp:lastModifiedBy>Administrator</cp:lastModifiedBy>
  <cp:lastPrinted>2019-05-25T03:14:00Z</cp:lastPrinted>
  <dcterms:modified xsi:type="dcterms:W3CDTF">2019-07-05T07:35:09Z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