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证券公司监督管理条例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(2008年4月23日中华人民共和国国务院令第522号公布　根据2014年7月29日《国务院关于修改部分行政法规的决定》修订)</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证券公司的监督管理，规范证券公司的行为，防范证券公司的风险，保护客户的合法权益和社会公共利益，促进证券业健康发展，根据《中华人民共和国公司法》(以下简称《公司法》)、《中华人民共和国证券法》(以下简称《证券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证券公司应当遵守法律、行政法规和国务院证券监督管理机构的规定，审慎经营，履行对客户的诚信义务。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证券公司的股东和实际控制人不得滥用权利，占用证券公司或者客户的资产，损害证券公司或者客户的合法权益。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国家鼓励证券公司在有效控制风险的前提下，依法开展经营方式创新、业务或者产品创新、组织创新和激励约束机制创新。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国务院证券监督管理机构、国务院有关部门应当采取有效措施，促进证券公司的创新活动规范、有序进行。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证券公司按照国家规定，可以发行、交易、销售证券类金融产品。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国务院证券监督管理机构依法履行对证券公司的监督管理职责。国务院证券监督管理机构的派出机构在国务院证券监督管理机构的授权范围内，履行对证券公司的监督管理职责。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国务院证券监督管理机构、中国人民银行、国务院其他金融监督管理机构应当建立证券公司监督管理的信息共享机制。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国务院证券监督管理机构和地方人民政府应当建立证券公司的有关情况通报机制。</w:t>
      </w:r>
    </w:p>
    <w:p>
      <w:pPr>
        <w:pStyle w:val="2"/>
        <w:bidi w:val="0"/>
      </w:pPr>
      <w:r>
        <w:t>第二章　设立与变更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设立证券公司，应当具备《公司法》、《证券法》和本条例规定的条件，并经国务院证券监督管理机构批准。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证券公司的股东应当用货币或者证券公司经营必需的非货币财产出资。证券公司股东的非货币财产出资总额不得超过证券公司注册资本的30%。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证券公司股东的出资，应当经具有证券、期货相关业务资格的会计师事务所验资并出具证明；出资中的非货币财产，应当经具有证券相关业务资格的资产评估机构评估。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在证券公司经营过程中，证券公司的债权人将其债权转为证券公司股权的，不受本条第一款规定的限制。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有下列情形之一的单位或者个人，不得成为持有证券公司5%以上股权的股东、实际控制人：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(一)因故意犯罪被判处刑罚，刑罚执行完毕未逾3年；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(二)净资产低于实收资本的50%，或者或有负债达到净资产的50%；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(三)不能清偿到期债务；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(四)国务院证券监督管理机构认定的其他情形。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证券公司的其他股东应当符合国务院证券监督管理机构的相关要求。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证券公司应当有3名以上在证券业担任高级管理人员满2年的高级管理人员。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证券公司设立时，其业务范围应当与其财务状况、内部控制制度、合规制度和人力资源状况相适应；证券公司在经营过程中，经其申请，国务院证券监督管理机构可以根据其财务状况、内部控制水平、合规程度、高级管理人员业务管理能力、专业人员数量，对其业务范围进行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证券公司增加注册资本且股权结构发生重大调整，减少注册资本，变更业务范围或者公司章程中的重要条款，合并、分立，设立、收购或者撤销境内分支机构，在境外设立、收购、参股证券经营机构，应当经国务院证券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前款所称公司章程中的重要条款，是指规定下列事项的条款：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(一)证券公司的名称、住所；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(二)证券公司的组织机构及其产生办法、职权、议事规则；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(三)证券公司对外投资、对外提供担保的类型、金额和内部审批程序；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(四)证券公司的解散事由与清算办法；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(五)国务院证券监督管理机构要求证券公司章程规定的其他事项。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本条第一款所称证券公司分支机构，是指从事业务经营活动的分公司、证券营业部等证券公司下属的非法人单位。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任何单位或者个人有下列情形之一的，应当事先告知证券公司，由证券公司报国务院证券监督管理机构批准：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(一)认购或者受让证券公司的股权后，其持股比例达到证券公司注册资本的5%；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(二)以持有证券公司股东的股权或者其他方式，实际控制证券公司5%以上的股权。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未经国务院证券监督管理机构批准，任何单位或者个人不得委托他人或者接受他人委托持有或者管理证券公司的股权。证券公司的股东不得违反国家规定，约定不按照出资比例行使表决权。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证券公司合并、分立的，涉及客户权益的重大资产转让应当经具有证券相关业务资格的资产评估机构评估。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证券公司停业、解散或者破产的，应当经国务院证券监督管理机构批准，并按照有关规定安置客户、处理未了结的业务。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国务院证券监督管理机构应当对下列申请进行审查，并在下列期限内，作出批准或者不予批准的书面决定：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(一)对在境内设立证券公司或者在境外设立、收购或者参股证券经营机构的申请，自受理之日起6个月；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(二)对增加注册资本且股权结构发生重大调整，减少注册资本，合并、分立或者要求审查股东、实际控制人资格的申请，自受理之日起3个月；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(三)对变更业务范围、公司章程中的重要条款或者要求审查高级管理人员任职资格的申请，自受理之日起45个工作日；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(四)对设立、收购、撤销境内分支机构，或者停业、解散、破产的申请，自受理之日起30个工作日；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(五)对要求审查董事、监事任职资格的申请，自受理之日起20个工作日。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国务院证券监督管理机构审批证券公司及其分支机构的设立申请，应当考虑证券市场发展和公平竞争的需要。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公司登记机关应当依照法律、行政法规的规定，凭国务院证券监督管理机构的批准文件，办理证券公司及其境内分支机构的设立、变更、注销登记。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在取得公司登记机关颁发或者换发的证券公司或者境内分支机构的营业执照后，应当向国务院证券监督管理机构申请颁发或者换发经营证券业务许可证。经营证券业务许可证应当载明证券公司或者境内分支机构的证券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未取得经营证券业务许可证，证券公司及其境内分支机构不得经营证券业务。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证券公司停止全部证券业务、解散、破产或者撤销境内分支机构的，应当在国务院证券监督管理机构指定的报刊上公告，并按照规定将经营证券业务许可证交国务院证券监督管理机构注销。</w:t>
      </w:r>
    </w:p>
    <w:p>
      <w:pPr>
        <w:pStyle w:val="2"/>
        <w:bidi w:val="0"/>
      </w:pPr>
      <w:r>
        <w:t>第三章　组织机构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证券公司应当依照《公司法》、《证券法》和本条例的规定，建立健全组织机构，明确决策、执行、监督机构的职权。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证券公司可以设独立董事。证券公司的独立董事，不得在本证券公司担任董事会外的职务，不得与本证券公司存在可能妨碍其做出独立、客观判断的关系。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证券公司经营证券经纪业务、证券资产管理业务、融资融券业务和证券承销与保荐业务中两种以上业务的，其董事会应当设薪酬与提名委员会、审计委员会和风险控制委员会，行使公司章程规定的职权。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证券公司董事会设薪酬与提名委员会、审计委员会的，委员会负责人由独立董事担任。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证券公司设董事会秘书，负责股东会和董事会会议的筹备、文件的保管以及股东资料的管理，按照规定或者根据国务院证券监督管理机构、股东等有关单位或者个人的要求，依法提供有关资料，办理信息报送或者信息披露事项。董事会秘书为证券公司高级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证券公司设立行使证券公司经营管理职权的机构，应当在公司章程中明确其名称、组成、职责和议事规则，该机构的成员为证券公司高级管理人员。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证券公司设合规负责人，对证券公司经营管理行为的合法合规性进行审查、监督或者检查。合规负责人为证券公司高级管理人员，由董事会决定聘任，并应当经国务院证券监督管理机构认可。合规负责人不得在证券公司兼任负责经营管理的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合规负责人发现违法违规行为，应当向公司章程规定的机构报告，同时按照规定向国务院证券监督管理机构或者有关自律组织报告。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证券公司解聘合规负责人，应当有正当理由，并自解聘之日起3个工作日内将解聘的事实和理由书面报告国务院证券监督管理机构。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证券公司的董事、监事、高级管理人员应当在任职前取得经国务院证券监督管理机构核准的任职资格。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证券公司不得聘任、选任未取得任职资格的人员担任前款规定的职务；已经聘任、选任的，有关聘任、选任的决议、决定无效。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证券公司的法定代表人或者高级管理人员离任的，证券公司应当对其进行审计，并自其离任之日起2个月内将审计报告报送国务院证券监督管理机构；证券公司的法定代表人或者经营管理的主要负责人离任的，应当聘请具有证券、期货相关业务资格的会计师事务所对其进行审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前款规定的审计报告未报送国务院证券监督管理机构的，离任人员不得在其他证券公司任职。</w:t>
      </w:r>
    </w:p>
    <w:p>
      <w:pPr>
        <w:pStyle w:val="2"/>
        <w:numPr>
          <w:ilvl w:val="0"/>
          <w:numId w:val="1"/>
        </w:numPr>
        <w:bidi w:val="0"/>
      </w:pPr>
      <w:r>
        <w:t>业务规则与风险控制</w:t>
      </w:r>
    </w:p>
    <w:p>
      <w:pPr>
        <w:pStyle w:val="3"/>
        <w:bidi w:val="0"/>
        <w:jc w:val="center"/>
      </w:pPr>
      <w:r>
        <w:t>第一节　一般规定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证券公司及其境内分支机构从事《证券法》第一百二十五条规定的证券业务，应当遵守《证券法》和本条例的规定。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证券公司及其境内分支机构经营的业务应当经国务院证券监督管理机构批准，不得经营未经批准的业务。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2个以上的证券公司受同一单位、个人控制或者相互之间存在控制关系的，不得经营相同的证券业务，但国务院证券监督管理机构另有规定的除外。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证券公司应当按照审慎经营的原则，建立健全风险管理与内部控制制度，防范和控制风险。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证券公司应当对分支机构实行集中统一管理，不得与他人合资、合作经营管理分支机构，也不得将分支机构承包、租赁或者委托给他人经营管理。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证券公司受证券登记结算机构委托，为客户开立证券账户，应当按照证券账户管理规则，对客户申报的姓名或者名称、身份的真实性进行审查。同一客户开立的资金账户和证券账户的姓名或者名称应当一致。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证券公司为证券资产管理客户开立的证券账户，应当自开户之日起3个交易日内报证券交易所备案。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证券公司不得将客户的资金账户、证券账户提供给他人使用。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证券公司从事证券资产管理业务、融资融券业务，销售证券类金融产品，应当按照规定程序，了解客户的身份、财产与收入状况、证券投资经验和风险偏好，并以书面和电子方式予以记载、保存。证券公司应当根据所了解的客户情况推荐适当的产品或者服务。具体规则由中国证券业协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证券公司与客户签订证券交易委托、证券资产管理、融资融券等业务合同，应当事先指定专人向客户讲解有关业务规则和合同内容，并将风险揭示书交由客户签字确认。业务合同的必备条款和风险揭示书的标准格式，由中国证券业协会制定，并报国务院证券监督管理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证券公司从事证券资产管理业务、融资融券业务，应当按照规定编制对账单，按月寄送客户。证券公司与客户对对账单送交时间或者方式另有约定的，从其约定。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证券公司应当建立信息查询制度，保证客户在证券公司营业时间内能够随时查询其委托记录、交易记录、证券和资金余额，以及证券公司业务经办人员和证券经纪人的姓名、执业证书、证券经纪人证书编号等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客户认为有关信息记录与实际情况不符的，可以向证券公司或者国务院证券监督管理机构投诉。证券公司应当指定专门部门负责处理客户投诉。国务院证券监督管理机构应当根据客户的投诉，采取相应措施。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证券公司不得违反规定委托其他单位或者个人进行客户招揽、客户服务、产品销售活动。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证券公司向客户提供投资建议，不得对证券价格的涨跌或者市场走势做出确定性的判断。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证券公司及其从业人员不得利用向客户提供投资建议而谋取不正当利益。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证券公司应当建立并实施有效的管理制度，防范其从业人员直接或者以化名、他人名义持有、买卖股票，收受他人赠送的股票。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证券公司应当按照规定提取一般风险准备金，用于弥补经营亏损。</w:t>
      </w:r>
    </w:p>
    <w:p>
      <w:pPr>
        <w:pStyle w:val="3"/>
        <w:bidi w:val="0"/>
      </w:pPr>
      <w:r>
        <w:t>第二节　证券经纪</w:t>
      </w:r>
      <w:bookmarkStart w:id="0" w:name="_GoBack"/>
      <w:bookmarkEnd w:id="0"/>
      <w:r>
        <w:t>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证券公司从事证券经纪业务，应当对客户账户内的资金、证券是否充足进行审查。客户资金账户内的资金不足的，不得接受其买入委托；客户证券账户内的证券不足的，不得接受其卖出委托。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证券公司从事证券经纪业务，可以委托证券公司以外的人员作为证券经纪人，代理其进行客户招揽、客户服务等活动。证券经纪人应当具有证券从业资格。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证券公司应当与接受委托的证券经纪人签订委托合同，颁发证券经纪人证书，明确对证券经纪人的授权范围，并对证券经纪人的执业行为进行监督。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证券经纪人应当在证券公司的授权范围内从事业务，并应当向客户出示证券经纪人证书。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证券经纪人应当遵守证券公司从业人员的管理规定，其在证券公司授权范围内的行为，由证券公司依法承担相应的法律责任；超出授权范围的行为，证券经纪人应当依法承担相应的法律责任。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证券经纪人只能接受一家证券公司的委托，进行客户招揽、客户服务等活动。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证券经纪人不得为客户办理证券认购、交易等事项。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证券公司向客户收取证券交易费用，应当符合国家有关规定，并将收费项目、收费标准在营业场所的显著位置予以公示。</w:t>
      </w:r>
    </w:p>
    <w:p>
      <w:pPr>
        <w:pStyle w:val="3"/>
        <w:bidi w:val="0"/>
      </w:pPr>
      <w:r>
        <w:t>第三节　证券自营业务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证券公司从事证券自营业务，限于买卖依法公开发行的股票、债券、权证、证券投资基金或者国务院证券监督管理机构认可的其他证券。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证券公司从事证券自营业务，应当使用实名证券自营账户。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证券公司的证券自营账户，应当自开户之日起3个交易日内报证券交易所备案。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证券公司从事证券自营业务，不得有下列行为：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(一)违反规定购买本证券公司控股股东或者与本证券公司有其他重大利害关系的发行人发行的证券；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(二)违反规定委托他人代为买卖证券；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(三)利用内幕信息买卖证券或者操纵证券市场；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(四)法律、行政法规或者国务院证券监督管理机构禁止的其他行为。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证券公司从事证券自营业务，自营证券总值与公司净资本的比例、持有一种证券的价值与公司净资本的比例、持有一种证券的数量与该证券发行总量的比例等风险控制指标，应当符合国务院证券监督管理机构的规定。</w:t>
      </w:r>
    </w:p>
    <w:p>
      <w:pPr>
        <w:pStyle w:val="3"/>
        <w:bidi w:val="0"/>
      </w:pPr>
      <w:r>
        <w:t>第四节　证券资产管理业务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证券公司可以依照《证券法》和本条例的规定，从事接受客户的委托、使用客户资产进行投资的证券资产管理业务。投资所产生的收益由客户享有，损失由客户承担，证券公司可以按照约定收取管理费用。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证券公司从事证券资产管理业务，应当与客户签订证券资产管理合同，约定投资范围、投资比例、管理期限及管理费用等事项。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证券公司从事证券资产管理业务，不得有下列行为：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(一)向客户做出保证其资产本金不受损失或者保证其取得最低收益的承诺；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(二)接受一个客户的单笔委托资产价值，低于国务院证券监督管理机构规定的最低限额；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(三)使用客户资产进行不必要的证券交易；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(四)在证券自营账户与证券资产管理账户之间或者不同的证券资产管理账户之间进行交易，且无充分证据证明已依法实现有效隔离；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(五)法律、行政法规或者国务院证券监督管理机构禁止的其他行为。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证券公司使用多个客户的资产进行集合投资，应当符合法律、行政法规和国务院证券监督管理机构的有关规定。</w:t>
      </w:r>
    </w:p>
    <w:p>
      <w:pPr>
        <w:pStyle w:val="3"/>
        <w:bidi w:val="0"/>
      </w:pPr>
      <w:r>
        <w:t>第五节　融资融券业务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本条例所称融资融券业务，是指在证券交易所或者国务院批准的其他证券交易场所进行的证券交易中，证券公司向客户出借资金供其买入证券或者出借证券供其卖出，并由客户交存相应担保物的经营活动。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证券公司经营融资融券业务，应当具备下列条件：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(一)证券公司治理结构健全，内部控制有效；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(二)风险控制指标符合规定，财务状况、合规状况良好；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(三)有经营融资融券业务所需的专业人员、技术条件、资金和证券；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(四)有完善的融资融券业务管理制度和实施方案；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(五)国务院证券监督管理机构规定的其他条件。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证券公司从事融资融券业务，应当与客户签订融资融券合同，并按照国务院证券监督管理机构的规定，以证券公司的名义在证券登记结算机构开立客户证券担保账户，在指定商业银行开立客户资金担保账户。客户资金担保账户内的资金应当参照本条例第五十七条的规定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在以证券公司名义开立的客户证券担保账户和客户资金担保账户内，应当为每一客户单独开立授信账户。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证券公司向客户融资，应当使用自有资金或者依法筹集的资金；向客户融券，应当使用自有证券或者依法取得处分权的证券。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证券公司向客户融资融券时，客户应当交存一定比例的保证金。保证金可以用证券充抵。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客户交存的保证金以及通过融资融券交易买入的全部证券和卖出证券所得的全部资金，均为对证券公司的担保物，应当存入证券公司客户证券担保账户或者客户资金担保账户并记入该客户授信账户。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客户证券担保账户内的证券和客户资金担保账户内的资金为信托财产。证券公司不得违背受托义务侵占客户担保账户内的证券或者资金。除本条例第五十四条规定的情形或者证券公司和客户依法另有约定的情形外，证券公司不得动用客户担保账户内的证券或者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证券公司应当逐日计算客户担保物价值与其债务的比例。当该比例低于规定的最低维持担保比例时，证券公司应当通知客户在一定的期限内补交差额。客户未能按期交足差额，或者到期未偿还融资融券债务的，证券公司应当立即按照约定处分其担保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客户依照本条例第五十二条第一款规定交存保证金的比例，由国务院证券监督管理机构授权的单位规定。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证券公司可以向客户融出的证券和融出资金可以买入证券的种类，可充抵保证金的有价证券的种类和折算率，融资融券的期限，最低维持担保比例和补交差额的期限，由证券交易所规定。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本条第一款、第二款规定由被授权单位或者证券交易所做出的相关规定，应当向国务院证券监督管理机构备案，且不得违反国家货币政策。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证券公司从事融资融券业务，自有资金或者证券不足的，可以向证券金融公司借入。证券金融公司的设立和解散由国务院决定。</w:t>
      </w:r>
    </w:p>
    <w:p>
      <w:pPr>
        <w:pStyle w:val="2"/>
        <w:bidi w:val="0"/>
      </w:pPr>
      <w:r>
        <w:t>第五章　客户资产的保护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证券公司从事证券经纪业务，其客户的交易结算资金应当存放在指定商业银行，以每个客户的名义单独立户管理。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商业银行应当与证券公司及其客户签订客户的交易结算资金存管合同，约定客户的交易结算资金存取、划转、查询等事项，并按照证券交易净额结算、货银对付的要求，为证券公司开立客户的交易结算资金汇总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客户的交易结算资金的存取，应当通过指定商业银行办理。指定商业银行应当保证客户能够随时查询客户的交易结算资金的余额及变动情况。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指定商业银行的名单，由国务院证券监督管理机构会同国务院银行业监督管理机构确定并公告。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证券公司从事证券资产管理业务，应当将客户的委托资产交由本条例第五十七条第四款规定的指定商业银行或者国务院证券监督管理机构认可的其他资产托管机构托管。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资产托管机构应当按照国务院证券监督管理机构的规定和证券资产管理合同的约定，履行安全保管客户的委托资产、办理资金收付事项、监督证券公司投资行为等职责。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客户的交易结算资金、证券资产管理客户的委托资产属于客户，应当与证券公司、指定商业银行、资产托管机构的自有资产相互独立、分别管理。非因客户本身的债务或者法律规定的其他情形，任何单位或者个人不得对客户的交易结算资金、委托资产申请查封、冻结或者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除下列情形外，不得动用客户的交易结算资金或者委托资金：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(一)客户进行证券的申购、证券交易的结算或者客户提款；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(二)客户支付与证券交易有关的佣金、费用或者税款；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(三)法律规定的其他情形。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证券公司不得以证券经纪客户或者证券资产管理客户的资产向他人提供融资或者担保。任何单位或者个人不得强令、指使、协助、接受证券公司以其证券经纪客户或者证券资产管理客户的资产提供融资或者担保。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指定商业银行、资产托管机构和证券登记结算机构应当对存放在本机构的客户的交易结算资金、委托资金和客户担保账户内的资金、证券的动用情况进行监督，并按照规定定期向国务院证券监督管理机构报送客户的交易结算资金、委托资金和客户担保账户内的资金、证券的存管或者动用情况的有关数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商业银行、资产托管机构和证券登记结算机构对超出本条例第五十三条、第五十四条、第六十条规定的范围，动用客户的交易结算资金、委托资金和客户担保账户内的资金、证券的申请、指令，应当拒绝；发现客户的交易结算资金、委托资金和客户担保账户内的资金、证券被违法动用或者有其他异常情况的，应当立即向国务院证券监督管理机构报告，并抄报有关监督管理机构。</w:t>
      </w:r>
    </w:p>
    <w:p>
      <w:pPr>
        <w:pStyle w:val="2"/>
        <w:bidi w:val="0"/>
      </w:pPr>
      <w:r>
        <w:t>第六章　监督管理措施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证券公司应当自每一会计年度结束之日起4个月内，向国务院证券监督管理机构报送年度报告；自每月结束之日起7个工作日内，报送月度报告。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影响或者可能影响证券公司经营管理、财务状况、风险控制指标或者客户资产安全的重大事件的，证券公司应当立即向国务院证券监督管理机构报送临时报告，说明事件的起因、目前的状态、可能产生的后果和拟采取的相应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证券公司年度报告中的财务会计报告、风险控制指标报告以及国务院证券监督管理机构规定的其他专项报告，应当经具有证券、期货相关业务资格的会计师事务所审计。证券公司年度报告应当附有该会计师事务所出具的内部控制评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的董事、高级管理人员应当对证券公司年度报告签署确认意见；经营管理的主要负责人和财务负责人应当对月度报告签署确认意见。在证券公司年度报告、月度报告上签字的人员，应当保证报告的内容真实、准确、完整；对报告内容持有异议的，应当注明自己的意见和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对证券公司报送的年度报告、月度报告，国务院证券监督管理机构应当指定专人进行审核，并制作审核报告。审核人员应当在审核报告上签字。审核中发现问题的，国务院证券监督管理机构应当及时采取相应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国务院证券监督管理机构应当对有关机构报送的客户的交易结算资金、委托资金和客户担保账户内的资金、证券的有关数据进行比对、核查，及时发现资金或者证券被违法动用的情况。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证券公司应当依法向社会公开披露其基本情况、参股及控股情况、负债及或有负债情况、经营管理状况、财务收支状况、高级管理人员薪酬和其他有关信息。具体办法由国务院证券监督管理机构制定。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国务院证券监督管理机构可以要求下列单位或者个人，在指定的期限内提供与证券公司经营管理和财务状况有关的资料、信息：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(一)证券公司及其董事、监事、工作人员；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(二)证券公司的股东、实际控制人；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(三)证券公司控股或者实际控制的企业；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(四)证券公司的开户银行、指定商业银行、资产托管机构、证券交易所、证券登记结算机构；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(五)为证券公司提供服务的证券服务机构。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国务院证券监督管理机构有权采取下列措施，对证券公司的业务活动、财务状况、经营管理情况进行检查：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(一)询问证券公司的董事、监事、工作人员，要求其对有关检查事项做出说明；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(二)进入证券公司的办公场所或者营业场所进行检查；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(三)查阅、复制与检查事项有关的文件、资料，对可能被转移、隐匿或者毁损的文件、资料、电子设备予以封存；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(四)检查证券公司的计算机信息管理系统，复制有关数据资料。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国务院证券监督管理机构为查清证券公司的业务情况、财务状况，经国务院证券监督管理机构负责人批准，可以查询证券公司及与证券公司有控股或者实际控制关系企业的银行账户。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证券公司以及有关单位和个人披露、报送或者提供的资料、信息应当真实、准确、完整，不得有虚假记载、误导性陈述或者重大遗漏。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国务院证券监督管理机构对治理结构不健全、内部控制不完善、经营管理混乱、设立账外账或者进行账外经营、拒不执行监督管理决定、违法违规的证券公司，应当责令其限期改正，并可以采取下列措施：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(一)责令增加内部合规检查的次数并提交合规检查报告；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(二)对证券公司及其有关董事、监事、高级管理人员、境内分支机构负责人给予谴责；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(三)责令处分有关责任人员，并报告结果；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(四)责令更换董事、监事、高级管理人员或者限制其权利；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(五)对证券公司进行临时接管，并进行全面核查；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(六)责令暂停证券公司或者其境内分支机构的部分或者全部业务、限期撤销境内分支机构。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证券公司被暂停业务、限期撤销境内分支机构的，应当按照有关规定安置客户、处理未了结的业务。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对证券公司的违法违规行为，合规负责人已经依法履行制止和报告职责的，免除责任。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任何单位或者个人未经批准，持有或者实际控制证券公司5%以上股权的，国务院证券监督管理机构应当责令其限期改正；改正前，相应股权不具有表决权。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任何人未取得任职资格，实际行使证券公司董事、监事、高级管理人员或者境内分支机构负责人职权的，国务院证券监督管理机构应当责令其停止行使职权，予以公告，并可以按照规定对其采取证券市场禁入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证券公司董事、监事、高级管理人员或者境内分支机构负责人不再具备任职资格条件的，证券公司应当解除其职务并向国务院证券监督管理机构报告；证券公司未解除其职务的，国务院证券监督管理机构应当责令其解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证券公司聘请或者解聘会计师事务所的，应当自做出决定之日起3个工作日内报国务院证券监督管理机构备案；解聘会计师事务所的，应当说明理由。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会计师事务所对证券公司或者其有关人员进行审计，可以查阅、复制与审计事项有关的客户信息或者证券公司的其他有关文件、资料，并可以调取证券公司计算机信息管理系统内的有关数据资料。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会计师事务所应当对所知悉的信息保密。法律、行政法规另有规定的除外。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证券交易所应当对证券公司证券自营账户和证券资产管理账户的交易行为进行实时监控；发现异常情况的，应当及时按照交易规则和会员管理规则处理，并向国务院证券监督管理机构报告。</w:t>
      </w:r>
    </w:p>
    <w:p>
      <w:pPr>
        <w:pStyle w:val="2"/>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证券公司有下列情形之一的，依照《证券法》第一百九十八条的规定处罚：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(一)聘任不具有任职资格的人员担任境内分支机构的负责人；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(二)未按照国务院证券监督管理机构依法做出的决定，解除不再具备任职资格条件的董事、监事、高级管理人员、境内分支机构负责人的职务。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证券公司从事证券经纪业务，客户资金不足而接受其买入委托，或者客户证券不足而接受其卖出委托的，依照《证券法》第二百零五条的规定处罚。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证券公司将客户的资金账户、证券账户提供给他人使用的，依照《证券法》第二百零八条的规定处罚。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证券公司诱使客户进行不必要的证券交易，或者从事证券资产管理业务时，使用客户资产进行不必要的证券交易的，依照《证券法》第二百一十条的规定处罚。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证券公司或者其境内分支机构超出国务院证券监督管理机构批准的范围经营业务的，依照《证券法》第二百一十九条的规定处罚。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证券公司在证券自营账户与证券资产管理账户之间或者不同的证券资产管理账户之间进行交易，且无充分证据证明已依法实现有效隔离的，依照《证券法》第二百二十条的规定处罚。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证券公司违反本条例的规定，有下列情形之一的，责令改正，给予警告，没收违法所得，并处以违法所得1倍以上5倍以下的罚款；没有违法所得或者违法所得不足10万元的，处以10万元以上30万元以下的罚款；情节严重的，暂停或者撤销其相关证券业务许可。对直接负责的主管人员和其他直接责任人员，给予警告，并处以3万元以上10万元以下的罚款；情节严重的，撤销任职资格或者证券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(一)违反规定委托其他单位或者个人进行客户招揽、客户服务或者产品销售活动；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(二)向客户提供投资建议，对证券价格的涨跌或者市场走势做出确定性的判断；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(三)违反规定委托他人代为买卖证券；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(四)从事证券自营业务、证券资产管理业务，投资范围或者投资比例违反规定；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(五)从事证券资产管理业务，接受一个客户的单笔委托资产价值低于规定的最低限额。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证券公司违反本条例的规定，有下列情形之一的，责令改正，给予警告，没收违法所得，并处以违法所得1倍以上5倍以下的罚款；没有违法所得或者违法所得不足3万元的，处以3万元以上30万元以下的罚款。对直接负责的主管人员和其他直接责任人员单处或者并处警告、3万元以上10万元以下的罚款；情节严重的，撤销任职资格或者证券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(一)未按照规定对离任的法定代表人或者高级管理人员进行审计，并报送审计报告；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(二)与他人合资、合作经营管理分支机构，或者将分支机构承包、租赁或者委托给他人经营管理；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(三)未按照规定将证券自营账户或者证券资产管理客户的证券账户报证券交易所备案；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(四)未按照规定程序了解客户的身份、财产与收入状况、证券投资经验和风险偏好；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(五)推荐的产品或者服务与所了解的客户情况不相适应；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(六)未按照规定指定专人向客户讲解有关业务规则和合同内容，并以书面方式向其揭示投资风险；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(七)未按照规定与客户签订业务合同，或者未在与客户签订的业务合同中载入规定的必备条款；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(八)未按照规定编制并向客户送交对账单，或者未按照规定建立并有效执行信息查询制度；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(九)未按照规定指定专门部门处理客户投诉；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(十)未按照规定提取一般风险准备金；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(十一)未按照规定存放、管理客户的交易结算资金、委托资金和客户担保账户内的资金、证券；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(十二)聘请、解聘会计师事务所，未按照规定向国务院证券监督管理机构备案，解聘会计师事务所未说明理由。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　</w:t>
      </w:r>
      <w:r>
        <w:rPr>
          <w:rFonts w:ascii="Times New Roman" w:hAnsi="Times New Roman" w:eastAsia="仿宋_GB2312" w:cs="Times New Roman"/>
          <w:sz w:val="32"/>
          <w:szCs w:val="32"/>
        </w:rPr>
        <w:t>证券公司未按照规定为客户开立账户的，责令改正；情节严重的，处以20万元以上50万元以下的罚款，并对直接负责的董事、高级管理人员和其他直接责任人员，处以1万元以上5万元以下的罚款。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　</w:t>
      </w:r>
      <w:r>
        <w:rPr>
          <w:rFonts w:ascii="Times New Roman" w:hAnsi="Times New Roman" w:eastAsia="仿宋_GB2312" w:cs="Times New Roman"/>
          <w:sz w:val="32"/>
          <w:szCs w:val="32"/>
        </w:rPr>
        <w:t>违反本条例的规定，有下列情形之一的，责令改正，给予警告，没收违法所得，并处以违法所得1倍以上5倍以下的罚款；没有违法所得或者违法所得不足10万元的，处以10万元以上60万元以下的罚款；情节严重的，撤销相关业务许可。对直接负责的主管人员和其他直接责任人员给予警告，撤销任职资格或者证券从业资格，并处以3万元以上30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(一)未经批准，委托他人或者接受他人委托持有或者管理证券公司的股权，或者认购、受让或者实际控制证券公司的股权；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(二)证券公司股东、实际控制人强令、指使、协助、接受证券公司以证券经纪客户或者证券资产管理客户的资产提供融资或者担保；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(三)证券公司、资产托管机构、证券登记结算机构违反规定动用客户的交易结算资金、委托资金和客户担保账户内的资金、证券；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(四)资产托管机构、证券登记结算机构对违反规定动用委托资金和客户担保账户内的资金、证券的申请、指令予以同意、执行；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(五)资产托管机构、证券登记结算机构发现委托资金和客户担保账户内的资金、证券被违法动用而未向国务院证券监督管理机构报告。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　</w:t>
      </w:r>
      <w:r>
        <w:rPr>
          <w:rFonts w:ascii="Times New Roman" w:hAnsi="Times New Roman" w:eastAsia="仿宋_GB2312" w:cs="Times New Roman"/>
          <w:sz w:val="32"/>
          <w:szCs w:val="32"/>
        </w:rPr>
        <w:t>指定商业银行有下列情形之一的，由国务院证券监督管理机构责令改正，给予警告，没收违法所得，并处以违法所得1倍以上5倍以下的罚款；没有违法所得或者违法所得不足10万元的，处以10万元以上60万元以下的罚款。对直接负责的主管人员和其他直接责任人员给予警告，并处以3万元以上30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(一)违反规定动用客户的交易结算资金；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(二)对违反规定动用客户的交易结算资金的申请、指令予以同意或者执行；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(三)发现客户的交易结算资金被违法动用而未向国务院证券监督管理机构报告。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商业银行有前款规定的行为，情节严重的，由国务院证券监督管理机构会同国务院银行业监督管理机构责令其暂停或者终止客户的交易结算资金存管业务；对直接负责的主管人员和其他直接责任人员，国务院证券监督管理机构可以建议国务院银行业监督管理机构依法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　</w:t>
      </w:r>
      <w:r>
        <w:rPr>
          <w:rFonts w:ascii="Times New Roman" w:hAnsi="Times New Roman" w:eastAsia="仿宋_GB2312" w:cs="Times New Roman"/>
          <w:sz w:val="32"/>
          <w:szCs w:val="32"/>
        </w:rPr>
        <w:t>违反本条例的规定，有下列情形之一的，责令改正，给予警告，并处以3万元以上20万元以下的罚款；对直接负责的主管人员和其他直接责任人员，给予警告，可以处以3万元以下的罚款：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(一)证券公司未按照本条例第六十六条的规定公开披露信息，或者公开披露的信息中有虚假记载、误导性陈述或者重大遗漏；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(二)证券公司控股或者实际控制的企业、资产托管机构、证券服务机构未按照规定向国务院证券监督管理机构报送、提供有关信息、资料，或者报送、提供的信息、资料中有虚假记载、误导性陈述或者重大遗漏。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　</w:t>
      </w:r>
      <w:r>
        <w:rPr>
          <w:rFonts w:ascii="Times New Roman" w:hAnsi="Times New Roman" w:eastAsia="仿宋_GB2312" w:cs="Times New Roman"/>
          <w:sz w:val="32"/>
          <w:szCs w:val="32"/>
        </w:rPr>
        <w:t>违反本条例的规定，有下列情形之一的，责令改正，给予警告，没收违法所得，并处以违法所得等值罚款；没有违法所得或者违法所得不足3万元的，处以3万元以下的罚款；情节严重的，撤销任职资格或者证券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(一)合规负责人未按照规定向国务院证券监督管理机构或者有关自律组织报告违法违规行为；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(二)证券经纪人从事业务未向客户出示证券经纪人证书；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(三)证券经纪人同时接受多家证券公司的委托，进行客户招揽、客户服务等活动；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(四)证券经纪人接受客户的委托，为客户办理证券认购、交易等事项。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　</w:t>
      </w:r>
      <w:r>
        <w:rPr>
          <w:rFonts w:ascii="Times New Roman" w:hAnsi="Times New Roman" w:eastAsia="仿宋_GB2312" w:cs="Times New Roman"/>
          <w:sz w:val="32"/>
          <w:szCs w:val="32"/>
        </w:rPr>
        <w:t>证券公司违反规定收取费用的，由有关主管部门依法给予处罚。</w:t>
      </w:r>
    </w:p>
    <w:p>
      <w:pPr>
        <w:pStyle w:val="2"/>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　</w:t>
      </w:r>
      <w:r>
        <w:rPr>
          <w:rFonts w:ascii="Times New Roman" w:hAnsi="Times New Roman" w:eastAsia="仿宋_GB2312" w:cs="Times New Roman"/>
          <w:sz w:val="32"/>
          <w:szCs w:val="32"/>
        </w:rPr>
        <w:t>证券公司经营证券业务不符合本条例第二十六条第三款规定的，应当在国务院证券监督管理机构规定的期限内达到规定要求。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　</w:t>
      </w:r>
      <w:r>
        <w:rPr>
          <w:rFonts w:ascii="Times New Roman" w:hAnsi="Times New Roman" w:eastAsia="仿宋_GB2312" w:cs="Times New Roman"/>
          <w:sz w:val="32"/>
          <w:szCs w:val="32"/>
        </w:rPr>
        <w:t>证券公司客户的交易结算资金存管方式不符合本条例第五十七条规定的，国务院证券监督管理机构应当责令其限期调整。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证券公司客户的交易结算资金存管方式，应当自本条例实施之日起1年内达到规定要求。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　</w:t>
      </w:r>
      <w:r>
        <w:rPr>
          <w:rFonts w:ascii="Times New Roman" w:hAnsi="Times New Roman" w:eastAsia="仿宋_GB2312" w:cs="Times New Roman"/>
          <w:sz w:val="32"/>
          <w:szCs w:val="32"/>
        </w:rPr>
        <w:t>证券公司可以向股东或者其他单位借入偿还顺序在普通债务之后的债，具体管理办法由国务院证券监督管理机构制定。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　</w:t>
      </w:r>
      <w:r>
        <w:rPr>
          <w:rFonts w:ascii="Times New Roman" w:hAnsi="Times New Roman" w:eastAsia="仿宋_GB2312" w:cs="Times New Roman"/>
          <w:sz w:val="32"/>
          <w:szCs w:val="32"/>
        </w:rPr>
        <w:t>外商投资证券公司的业务范围、境外股东的资格条件和出资比例，由国务院证券监督管理机构规定，报国务院批准。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　</w:t>
      </w:r>
      <w:r>
        <w:rPr>
          <w:rFonts w:ascii="Times New Roman" w:hAnsi="Times New Roman" w:eastAsia="仿宋_GB2312" w:cs="Times New Roman"/>
          <w:sz w:val="32"/>
          <w:szCs w:val="32"/>
        </w:rPr>
        <w:t>境外证券经营机构在境内经营证券业务或者设立代表机构，应当经国务院证券监督管理机构批准。具体办法由国务院证券监督管理机构制定，报国务院批准。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　</w:t>
      </w:r>
      <w:r>
        <w:rPr>
          <w:rFonts w:ascii="Times New Roman" w:hAnsi="Times New Roman" w:eastAsia="仿宋_GB2312" w:cs="Times New Roman"/>
          <w:sz w:val="32"/>
          <w:szCs w:val="32"/>
        </w:rPr>
        <w:t>本条例所称证券登记结算机构，是指《证券法》第一百五十五条规定的证券登记结算机构。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eastAsia="仿宋_GB2312"/>
          <w:lang w:eastAsia="zh-CN"/>
        </w:rPr>
      </w:pPr>
      <w:r>
        <w:rPr>
          <w:rFonts w:ascii="Times New Roman" w:hAnsi="Times New Roman" w:eastAsia="黑体" w:cs="Times New Roman"/>
          <w:sz w:val="32"/>
          <w:szCs w:val="32"/>
        </w:rPr>
        <w:t>第九十七条　</w:t>
      </w:r>
      <w:r>
        <w:rPr>
          <w:rFonts w:ascii="Times New Roman" w:hAnsi="Times New Roman" w:eastAsia="仿宋_GB2312" w:cs="Times New Roman"/>
          <w:sz w:val="32"/>
          <w:szCs w:val="32"/>
        </w:rPr>
        <w:t>本条例自2008年6月1日起施行。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B5B14"/>
    <w:multiLevelType w:val="singleLevel"/>
    <w:tmpl w:val="725B5B14"/>
    <w:lvl w:ilvl="0" w:tentative="0">
      <w:start w:val="4"/>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AB79BE"/>
    <w:rsid w:val="09B60066"/>
    <w:rsid w:val="0AD5216B"/>
    <w:rsid w:val="0B3D0578"/>
    <w:rsid w:val="0D3C4224"/>
    <w:rsid w:val="134A1994"/>
    <w:rsid w:val="155E2CB3"/>
    <w:rsid w:val="18413C16"/>
    <w:rsid w:val="19DB6C33"/>
    <w:rsid w:val="1C9212F7"/>
    <w:rsid w:val="23EB776B"/>
    <w:rsid w:val="26CA1A3A"/>
    <w:rsid w:val="28F8723D"/>
    <w:rsid w:val="2DBE0D65"/>
    <w:rsid w:val="2FF20DF5"/>
    <w:rsid w:val="32252208"/>
    <w:rsid w:val="33CF5811"/>
    <w:rsid w:val="386D21AD"/>
    <w:rsid w:val="3CDF39C7"/>
    <w:rsid w:val="3D762392"/>
    <w:rsid w:val="40DC5AC3"/>
    <w:rsid w:val="4361706F"/>
    <w:rsid w:val="444B0E8A"/>
    <w:rsid w:val="47A250A3"/>
    <w:rsid w:val="4EDF3D2B"/>
    <w:rsid w:val="4EED79F5"/>
    <w:rsid w:val="5080370D"/>
    <w:rsid w:val="53BF5C69"/>
    <w:rsid w:val="58F6185E"/>
    <w:rsid w:val="591257DC"/>
    <w:rsid w:val="5DB22BFD"/>
    <w:rsid w:val="5DD739B2"/>
    <w:rsid w:val="5F5011B7"/>
    <w:rsid w:val="60492E1B"/>
    <w:rsid w:val="61152047"/>
    <w:rsid w:val="620467BA"/>
    <w:rsid w:val="622D2BEC"/>
    <w:rsid w:val="649C0E8F"/>
    <w:rsid w:val="65BF6566"/>
    <w:rsid w:val="665D25F4"/>
    <w:rsid w:val="6A403C00"/>
    <w:rsid w:val="6B4C7D1B"/>
    <w:rsid w:val="6DA577A5"/>
    <w:rsid w:val="6DB87D30"/>
    <w:rsid w:val="6E804287"/>
    <w:rsid w:val="72D128F8"/>
    <w:rsid w:val="762C29D0"/>
    <w:rsid w:val="769B60FD"/>
    <w:rsid w:val="7814798C"/>
    <w:rsid w:val="78ED2B64"/>
    <w:rsid w:val="7A4B011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楷体_GB2312" w:asciiTheme="majorAscii" w:hAnsiTheme="majorAscii" w:cstheme="majorBidi"/>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eastAsia="楷体_GB2312" w:asciiTheme="majorAscii" w:hAnsiTheme="majorAscii" w:cstheme="majorBidi"/>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2019-07-05T07:19:11Z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