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证券公司风险处置条例</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楷体_GB2312" w:hAnsi="楷体_GB2312" w:eastAsia="楷体_GB2312" w:cs="楷体_GB2312"/>
          <w:bCs/>
          <w:spacing w:val="6"/>
          <w:kern w:val="2"/>
          <w:sz w:val="32"/>
          <w:szCs w:val="32"/>
          <w:shd w:val="clear" w:color="auto" w:fill="FFFFFF"/>
          <w:lang w:val="en-US" w:eastAsia="zh-CN" w:bidi="ar-SA"/>
        </w:rPr>
        <w:t>（</w:t>
      </w:r>
      <w:r>
        <w:rPr>
          <w:rFonts w:hint="default" w:ascii="Times New Roman" w:hAnsi="Times New Roman" w:eastAsia="楷体_GB2312" w:cs="Times New Roman"/>
          <w:bCs/>
          <w:spacing w:val="6"/>
          <w:kern w:val="2"/>
          <w:sz w:val="32"/>
          <w:szCs w:val="32"/>
          <w:shd w:val="clear" w:color="auto" w:fill="FFFFFF"/>
          <w:lang w:val="en-US" w:eastAsia="zh-CN" w:bidi="ar-SA"/>
        </w:rPr>
        <w:t>2008年4月23日中华人民共和国国务院令第523号公布　根据2016年2月6日《国务院关于修改部分行政法规的决定》第一次修订　根据2023年7月20日《国务院关于修改和废止部分行政法规的决定》第二次修订</w:t>
      </w:r>
      <w:r>
        <w:rPr>
          <w:rFonts w:hint="eastAsia" w:ascii="楷体_GB2312" w:hAnsi="楷体_GB2312" w:eastAsia="楷体_GB2312" w:cs="楷体_GB2312"/>
          <w:bCs/>
          <w:spacing w:val="6"/>
          <w:kern w:val="2"/>
          <w:sz w:val="32"/>
          <w:szCs w:val="32"/>
          <w:shd w:val="clear" w:color="auto" w:fill="FFFFFF"/>
          <w:lang w:val="en-US" w:eastAsia="zh-CN" w:bidi="ar-SA"/>
        </w:rPr>
        <w:t>）</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lang w:val="en-US" w:eastAsia="zh-CN"/>
        </w:rPr>
      </w:pPr>
    </w:p>
    <w:p>
      <w:pPr>
        <w:pStyle w:val="2"/>
        <w:keepNext w:val="0"/>
        <w:keepLines w:val="0"/>
        <w:pageBreakBefore w:val="0"/>
        <w:kinsoku/>
        <w:wordWrap/>
        <w:overflowPunct/>
        <w:topLinePunct w:val="0"/>
        <w:autoSpaceDE/>
        <w:autoSpaceDN/>
        <w:bidi w:val="0"/>
        <w:adjustRightInd/>
        <w:snapToGrid/>
        <w:spacing w:before="0" w:after="0" w:line="240" w:lineRule="auto"/>
        <w:jc w:val="center"/>
        <w:textAlignment w:val="auto"/>
      </w:pPr>
      <w:r>
        <w:rPr>
          <w:rFonts w:hint="eastAsia" w:ascii="黑体" w:hAnsi="黑体" w:eastAsia="黑体" w:cs="黑体"/>
          <w:bCs w:val="0"/>
          <w:kern w:val="2"/>
          <w:sz w:val="32"/>
          <w:szCs w:val="32"/>
          <w:lang w:val="en-US" w:eastAsia="zh-CN" w:bidi="ar-SA"/>
        </w:rPr>
        <w:t>第一章　总　　则</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为了控制和化解证券公司风险，保护投资者合法权益和社会公共利益，保障证券业健康发展，根据《中华人民共和国证券法》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以下简称《证券法》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、《中华人民共和国企业破产法》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以下简称《企业破产法》</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，制定本条例。</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国务院证券监督管理机构依法对处置证券公司风险工作进行组织、协调和监督。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国务院证券监督管理机构应当会同中国人民银行、国务院财政部门、国务院公安部门、国务院其他金融监督管理机构以及省级人民政府建立处置证券公司风险的协调配合与快速反应机制。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处置证券公司风险过程中，有关地方人民政府应当采取有效措施维护社会稳定。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处置证券公司风险过程中，应当保障证券经纪业务正常进行。</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第二章　停业整顿、托管、接管、行政重组</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国务院证券监督管理机构发现证券公司存在重大风险隐患，可以派出风险监控现场工作组对证券公司进行专项检查，对证券公司划拨资金、处置资产、调配人员、使用印章、订立以及履行合同等经营、管理活动进行监控，并及时向有关地方人民政府通报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证券公司风险控制指标不符合有关规定，在规定期限内未能完成整改的，国务院证券监督管理机构可以责令证券公司停止部分或者全部业务进行整顿。停业整顿的期限不</w:t>
      </w:r>
      <w:r>
        <w:rPr>
          <w:rFonts w:hint="default" w:ascii="Times New Roman" w:hAnsi="Times New Roman" w:eastAsia="仿宋_GB2312" w:cs="Times New Roman"/>
          <w:sz w:val="32"/>
          <w:szCs w:val="32"/>
        </w:rPr>
        <w:t>超过3个月。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券经纪业务被责令停业整顿的，证券公司在规定的期限内可以将其证券经纪业务委托给国务院证券监督管理机构认可的证券公司管理，或者将客户转移到其他证券公司。证券公司逾期未按照要求委托证券经纪业务或者未转移客户的，国务院证券监督管理机构应当将客户转移到其他证券公司。</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证券公司有下列情形之一的，国务院证券监督管理机构可以对其证券经纪等涉及客户的业务进行托管；情节严重的，可以对该证券公司进行接管：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治理混乱，管理失控；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挪用客户资产并且不能自行弥补；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在证券交易结算中多次发生交收违约或者交收违约数额较大；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风险控制指标不符合规定，发生重大财务危机；</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其他可能影响证券公司持续经营的情形。</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国务院证券监督管理机构决定对证券公司证券经纪等涉及客户的业务进行托管的，应当按照规定程序选择证券公司等专业机构成立托管组，行使被托管证券公司的证券经纪等涉及客户的业务的经营管理权。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托管组自托管之日起履行下列职责：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保障证券公司证券经纪业务正常合规运行，必要时依照规定垫付营运资金和客户的交易结算资金；</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采取有效措施维护托管期间客户资产的安全；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核查证券公司存在的风险，及时向国务院证券监督管理机构报告业务运行中出现的紧急情况，并提出解决方案；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国务院证券监督管理机构要求履行的其他职责。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托管期限一般不</w:t>
      </w:r>
      <w:r>
        <w:rPr>
          <w:rFonts w:hint="default" w:ascii="Times New Roman" w:hAnsi="Times New Roman" w:eastAsia="仿宋_GB2312" w:cs="Times New Roman"/>
          <w:sz w:val="32"/>
          <w:szCs w:val="32"/>
        </w:rPr>
        <w:t>超过12个月。满12个月，确需继续托管的，国务院证券监督管理机构可以决定延长托管期限，但延长托管期限最长不得超过12</w:t>
      </w:r>
      <w:r>
        <w:rPr>
          <w:rFonts w:hint="eastAsia" w:ascii="仿宋_GB2312" w:hAnsi="仿宋_GB2312" w:eastAsia="仿宋_GB2312" w:cs="仿宋_GB2312"/>
          <w:sz w:val="32"/>
          <w:szCs w:val="32"/>
        </w:rPr>
        <w:t>个月。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被托管证券公司应当承担托管费用和托管期间的营运费用。国务院证券监督管理机构应当对托管费用和托管期间的营运费用进行审核。</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托管组不承担被托管证券公司的亏损。</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国务院证券监督管理机构决定对证券公司进行接管的，应当按照规定程序组织专业人员成立接管组，行使被接管证券公司的经营管理权，接管组负责人行使被接管证券公司法定代表人职权，被接管证券公司的股东会或者股东大会、董事会、监事会以及经理、副经理停止履行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接管组自接管之日起履行下列职责：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接管证券公司的财产、印章和账簿、文书等资料；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决定证券公司的管理事务；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保障证券公司证券经纪业务正常合规运行，完善内控制度；</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清查证券公司财产，依法保全、追收资产；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控制证券公司风险，提出风险化解方案；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核查证券公司有关人员的违法行为；</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国务院证券监督管理机构要求履行的其他职责。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接管期限一般不</w:t>
      </w:r>
      <w:r>
        <w:rPr>
          <w:rFonts w:hint="default" w:ascii="Times New Roman" w:hAnsi="Times New Roman" w:eastAsia="仿宋_GB2312" w:cs="Times New Roman"/>
          <w:sz w:val="32"/>
          <w:szCs w:val="32"/>
        </w:rPr>
        <w:t>超过12个月。满12个月，确需继续接管的，国务院证券监督管理机构可以决定延长接管期限，但延长接管期限最长不得超过12个</w:t>
      </w:r>
      <w:r>
        <w:rPr>
          <w:rFonts w:hint="eastAsia" w:ascii="仿宋_GB2312" w:hAnsi="仿宋_GB2312" w:eastAsia="仿宋_GB2312" w:cs="仿宋_GB2312"/>
          <w:sz w:val="32"/>
          <w:szCs w:val="32"/>
        </w:rPr>
        <w:t>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证券公司出现重大风险，但具备下列条件的，可以由国务院证券监督管理机构对其进行行政重组：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财务信息真实、完整；</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省级人民政府或者有关方面予以支持；</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整改措施具体，有可行的重组计划。</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被停业整顿、托管、接管的证券公司，具备前款规定条件的，也可以由国务院证券监督管理机构对其进行行政重组。</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证券公司进行行政重组，可以采取注资、股权重组、债务重组、资产重组、合并或者其他方式。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行政重组期限一般不超</w:t>
      </w:r>
      <w:r>
        <w:rPr>
          <w:rFonts w:hint="default" w:ascii="Times New Roman" w:hAnsi="Times New Roman" w:eastAsia="仿宋_GB2312" w:cs="Times New Roman"/>
          <w:sz w:val="32"/>
          <w:szCs w:val="32"/>
        </w:rPr>
        <w:t>过12个月。满12个</w:t>
      </w:r>
      <w:r>
        <w:rPr>
          <w:rFonts w:hint="eastAsia" w:ascii="仿宋_GB2312" w:hAnsi="仿宋_GB2312" w:eastAsia="仿宋_GB2312" w:cs="仿宋_GB2312"/>
          <w:sz w:val="32"/>
          <w:szCs w:val="32"/>
        </w:rPr>
        <w:t>月，行政重组未完成的，国务院证券监督管理机构可以决定延长行政重组期限，但延长行政重组期限最长不得超</w:t>
      </w:r>
      <w:r>
        <w:rPr>
          <w:rFonts w:hint="default" w:ascii="Times New Roman" w:hAnsi="Times New Roman" w:eastAsia="仿宋_GB2312" w:cs="Times New Roman"/>
          <w:sz w:val="32"/>
          <w:szCs w:val="32"/>
        </w:rPr>
        <w:t>过6个</w:t>
      </w:r>
      <w:r>
        <w:rPr>
          <w:rFonts w:hint="eastAsia" w:ascii="仿宋_GB2312" w:hAnsi="仿宋_GB2312" w:eastAsia="仿宋_GB2312" w:cs="仿宋_GB2312"/>
          <w:sz w:val="32"/>
          <w:szCs w:val="32"/>
        </w:rPr>
        <w:t>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国务院证券监督管理机构对证券公司的行政重组进行协调和指导。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国务院证券监督管理机构对证券公司做出责令停业整顿、托管、接管、行政重组的处置决定，应当予以公告，并将公告张贴于被处置证券公司的营业场所。</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处置决定包括被处置证券公司的名称、处置措施、事由以及范围等有关事项。</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处置决定的公告日期为处置日，处置决定自公告之时生效。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证券公司被责令停业整顿、托管、接管、行政重组的，其债权债务关系不因处置决定而变化。</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证券公司经停业整顿、托管、接管或者行政重组在规定期限内达到正常经营条件的，经国务院证券监督管理机构批准，可以恢复正常经营。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证券公司经停业整顿、托管、接管或者行政重组在规定期限内仍达不到正常经营条件，但能够清偿到期债务的，国务院证券监督管理机构依法撤销其证券业务许可。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被撤销证券业务许可的证券公司应当停止经营证券业务，按照客户自愿的原则将客户安置到其他证券公司，安置过程中相关各方应当采取必要措施保证客户证券交易的正常进行。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被撤销证券业务许可的证券公司有未安置客户等情形的，国务院证券监督管理机构可以比照本条例第三章的规定，成立行政清理组，清理账户、安置客户、转让证券类资产。</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pStyle w:val="2"/>
        <w:keepNext w:val="0"/>
        <w:keepLines w:val="0"/>
        <w:pageBreakBefore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第三章　撤　　销</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证券公司同时有下列情形的，国务院证券监督管理机构可以直接撤销该证券公司：</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违法经营情节特别严重、存在巨大经营风险；</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不能清偿到期债务，并且资产不足以清偿全部债务或者明显缺乏清偿能力；</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需要动用证券投资者保护基金。</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证券公司经停业整顿、托管、接管或者行政重组在规定期限内仍达不到正常经营条件，并且有本条例第十九条第</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项或者第</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项规定情形的，国务院证券监督管理机构应当撤销该证券公司。</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国务院证券监督管理机构撤销证券公司，应当做出撤销决定，并按照规定程序选择律师事务所、会计师事务所等专业机构成立行政清理组，对该证券公司进行行政清理。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撤销决定应当予以公告，撤销决定的公告日期为处置日，撤销决定自公告之时生效。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本条例施行前，国务院证券监督管理机构已经对证券公司进行行政清理的，行政清理的公告日期为处置日。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行政清理期间，行政清理组负责人行使被撤销证券公司法定代表人职权。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行政清理组履行下列职责：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管理证券公司的财产、印章和账簿、文书等资料；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清理账户，核实资产负债有关情况，对符合国家规定的债权进行登记；</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协助甄别确认、收购符合国家规定的债权；</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协助证券投资者保护基金管理机构弥补客户的交易结算资金；</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按照客户自愿的原则安置客户；</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转让证券类资产；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国务院证券监督管理机构要求履行的其他职责。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前款所称证券类资产，是指证券公司为维持证券经纪业务正常进行所必需的计算机信息管理系统、交易系统、通信网络系统、交易席位等资产。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被撤销证券公司的股东会或者股东大会、董事会、监事会以及经理、副经理停止履行职责。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行政清理期间，被撤销证券公司的股东不得自行组织清算，不得参与行政清理工作。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行政清理期间，被撤销证券公司的证券经纪等涉及客户的业务，由国务院证券监督管理机构按照规定程序选择证券公司等专业机构进行托管。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证券公司设立或者实际控制的关联公司，其资产、人员、财务或者业务与被撤销证券公司混合的，经国务院证券监督管理机构审查批准，纳入行政清理范围。</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证券公司的债权债务关系不因其被撤销而变化。</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自证券公司被撤销之日起，证券公司的债务停止计算利息。</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行政清理组清理被撤销证券公司账户的结果，应当经具有证券、期货相关业务资格的会计师事务所审计，并报国务院证券监督管理机构认定。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行政清理组根据经国务院证券监督管理机构认定的账户清理结果，向证券投资者保护基金管理机构申请弥补客户的交易结算资金的资金。</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行政清理组应当自成立之日</w:t>
      </w:r>
      <w:r>
        <w:rPr>
          <w:rFonts w:hint="default" w:ascii="Times New Roman" w:hAnsi="Times New Roman" w:eastAsia="仿宋_GB2312" w:cs="Times New Roman"/>
          <w:sz w:val="32"/>
          <w:szCs w:val="32"/>
        </w:rPr>
        <w:t>起10日内，将债权人需要登记的相关事项予以</w:t>
      </w:r>
      <w:r>
        <w:rPr>
          <w:rFonts w:hint="eastAsia" w:ascii="仿宋_GB2312" w:hAnsi="仿宋_GB2312" w:eastAsia="仿宋_GB2312" w:cs="仿宋_GB2312"/>
          <w:sz w:val="32"/>
          <w:szCs w:val="32"/>
        </w:rPr>
        <w:t>公告。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符合国家有关规定的债权人应当自公告之</w:t>
      </w:r>
      <w:r>
        <w:rPr>
          <w:rFonts w:hint="default" w:ascii="Times New Roman" w:hAnsi="Times New Roman" w:eastAsia="仿宋_GB2312" w:cs="Times New Roman"/>
          <w:sz w:val="32"/>
          <w:szCs w:val="32"/>
        </w:rPr>
        <w:t>日起90日</w:t>
      </w:r>
      <w:r>
        <w:rPr>
          <w:rFonts w:hint="eastAsia" w:ascii="仿宋_GB2312" w:hAnsi="仿宋_GB2312" w:eastAsia="仿宋_GB2312" w:cs="仿宋_GB2312"/>
          <w:sz w:val="32"/>
          <w:szCs w:val="32"/>
        </w:rPr>
        <w:t>内，持相关证明材料向行政清理组申报债权，行政清理组按照规定登记。无正当理由逾期申报的，不予登记。</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已登记债权经甄别确认符合国家收购规定的，行政清理组应当及时按照国家有关规定申请收购资金并协助收购；经甄别确认不符合国家收购规定的，行政清理组应当告知申报的债权人。</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行政清理组应当在具备证券业务经营资格的机构中，采用招标、公开询价等公开方式转让证券类资产。证券类资产转让方案应当报国务院证券监督管理机构批准。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行政清理组不得转让证券类资产以外的资产，但经国务院证券监督管理机构批准，易贬损并可能遭受损失的资产或者确为保护客户和债权人利益的其他情形除外。</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行政清理组不得对债务进行个别清偿，但为保护客户和债权人利益的下列情形除外：</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因行政清理组请求对方当事人履行双方均未履行完毕的合同所产生的债务；</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为维持业务正常进行而应当支付的职工劳动报酬和社会保险费用等正常支出；</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行政清理组履行职责所产生的其他费用。</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为保护债权人利益，经国务院证券监督管理机构批准，行政清理组可以向人民法院申请对处置前被采取查封、扣押、冻结等强制措施的证券类资产以及其他资产进行变现处置，变现后的资金应当予以冻结。</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行政清理费用经国务院证券监督管理机构审核后，从被处置证券公司财产中随时清偿。</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前款所称行政清理费用，是指行政清理组管理、转让证券公司财产所需的费用，行政清理组履行职务和聘用专业机构的费用等。</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行政清理期限一般不超过</w:t>
      </w:r>
      <w:r>
        <w:rPr>
          <w:rFonts w:hint="default" w:ascii="Times New Roman" w:hAnsi="Times New Roman" w:eastAsia="仿宋_GB2312" w:cs="Times New Roman"/>
          <w:sz w:val="32"/>
          <w:szCs w:val="32"/>
        </w:rPr>
        <w:t>12个月。满12个月，行政清理未完成的，国务院证券监督管理机构可以决定延长行政清理期限，但延长行政清理期限最长不得超过12个</w:t>
      </w:r>
      <w:r>
        <w:rPr>
          <w:rFonts w:hint="eastAsia" w:ascii="仿宋_GB2312" w:hAnsi="仿宋_GB2312" w:eastAsia="仿宋_GB2312" w:cs="仿宋_GB2312"/>
          <w:sz w:val="32"/>
          <w:szCs w:val="32"/>
        </w:rPr>
        <w:t>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行政清理期间，被处置证券公司免缴行政性收费和增值税、营业税等行政法规规定的税收。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证券公司被国务院证券监督管理机构依法责令关闭，需要进行行政清理的，比照本章的有关规定执行。</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第四章　破产清算和重整</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证券公司被依法撤销、关闭时，有《企业破产法》第二条规定情形的，行政清理工作完成后，国务院证券监督管理机构或者其委托的行政清理组依照《企业破产法》的有关规定，可以向人民法院申请对被撤销、关闭证券公司进行破产清算。</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证券公司有《企业破产法》第二条规定情形的，国务院证券监督管理机构可以直接向人民法院申请对该证券公司进行重整。</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证券公司或者其债权人依照《企业破产法》的有关规定，可以向人民法院提出对证券公司进行破产清算或者重整的申请，但应当依照《证券法》第一百二十二条的规定报经国务院证券监督管理机构批准。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对不需要动用证券投资者保护基金的证券公司，国务院证券监督管理机构应当在批准破产清算前撤销其证券业务许可。证券公司应当依照本条例第十八条的规定停止经营证券业务，安置客户。</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对需要动用证券投资者保护基金的证券公司，国务院证券监督管理机构对该证券公司或者其债权人的破产清算申请不予批准，并依照本条例第三章的规定撤销该证券公司，进行行政清理。</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人民法院裁定受理证券公司重整或者破产清算申请的，国务院证券监督管理机构可以向人民法院推荐管理人人选。</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证券公司进行破产清算的，行政清理时已登记的不符合国家收购规定的债权，管理人可以直接予以登记。</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人民法院裁定证券公司重整的，证券公司或者管理人应当同时向债权人会议、国务院证券监督管理机构和人民法院提交重整计划草案。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自债权人会议各表决组通过重整计划草案之日</w:t>
      </w:r>
      <w:r>
        <w:rPr>
          <w:rFonts w:hint="default" w:ascii="Times New Roman" w:hAnsi="Times New Roman" w:eastAsia="仿宋_GB2312" w:cs="Times New Roman"/>
          <w:sz w:val="32"/>
          <w:szCs w:val="32"/>
        </w:rPr>
        <w:t>起10日内，证</w:t>
      </w:r>
      <w:r>
        <w:rPr>
          <w:rFonts w:hint="eastAsia" w:ascii="仿宋_GB2312" w:hAnsi="仿宋_GB2312" w:eastAsia="仿宋_GB2312" w:cs="仿宋_GB2312"/>
          <w:sz w:val="32"/>
          <w:szCs w:val="32"/>
        </w:rPr>
        <w:t>券公司或者管理人应当向人民法院提出批准重整计划的申请。重整计划涉及《证券法》第一百二十二条规定相关事项的，证券公司或者管理人应当同时向国务院证券监督管理机构提出批准相关事项的申请，国务院证券监督管理机构应当自收到申请之日</w:t>
      </w:r>
      <w:r>
        <w:rPr>
          <w:rFonts w:hint="default" w:ascii="Times New Roman" w:hAnsi="Times New Roman" w:eastAsia="仿宋_GB2312" w:cs="Times New Roman"/>
          <w:sz w:val="32"/>
          <w:szCs w:val="32"/>
        </w:rPr>
        <w:t>起15日内做</w:t>
      </w:r>
      <w:r>
        <w:rPr>
          <w:rFonts w:hint="eastAsia" w:ascii="仿宋_GB2312" w:hAnsi="仿宋_GB2312" w:eastAsia="仿宋_GB2312" w:cs="仿宋_GB2312"/>
          <w:sz w:val="32"/>
          <w:szCs w:val="32"/>
        </w:rPr>
        <w:t>出批准或者不予批准的决定。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债权人会议部分表决组未通过重整计划草案，但重整计划草案符合《企业破产法》第八十七条第二款规定条件的，证券公司或者管理人可以申请人民法院批准重整计划草案。重整计划草案涉及《证券法》第一百二十二条规定相关事项的，证券公司或者管理人应当同时向国务院证券监督管理机构提出批准相关事项的申请，国务院证券监督管理机构应</w:t>
      </w:r>
      <w:r>
        <w:rPr>
          <w:rFonts w:hint="default" w:ascii="Times New Roman" w:hAnsi="Times New Roman" w:eastAsia="仿宋_GB2312" w:cs="Times New Roman"/>
          <w:sz w:val="32"/>
          <w:szCs w:val="32"/>
        </w:rPr>
        <w:t>当自收到申请之日起15日内做出批准</w:t>
      </w:r>
      <w:r>
        <w:rPr>
          <w:rFonts w:hint="eastAsia" w:ascii="仿宋_GB2312" w:hAnsi="仿宋_GB2312" w:eastAsia="仿宋_GB2312" w:cs="仿宋_GB2312"/>
          <w:sz w:val="32"/>
          <w:szCs w:val="32"/>
        </w:rPr>
        <w:t>或者不予批准的决定。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经批准的重整计划由证券公司执行，管理人负责监督。监督期届满，管理人应当向人民法院和国务院证券监督管理机构提交监督报告。</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重整计划的相关事项未获国务院证券监督管理机构批准，或者重整计划未获人民法院批准的，人民法院裁定终止重整程序，并宣告证券公司破产。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重整程序终止，人民法院宣告证券公司破产的，国务院证券监督管理机构应当对证券公司做出撤销决定，人民法院依照《企业破产法》的规定组织破产清算。涉及税收事项，依照《企业破产法》和《中华人民共和国税收征收管理法》的规定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szCs w:val="32"/>
        </w:rPr>
      </w:pPr>
      <w:r>
        <w:rPr>
          <w:rFonts w:hint="eastAsia" w:ascii="仿宋_GB2312" w:hAnsi="仿宋_GB2312" w:eastAsia="仿宋_GB2312" w:cs="仿宋_GB2312"/>
          <w:sz w:val="32"/>
          <w:szCs w:val="32"/>
        </w:rPr>
        <w:t>人民法院认为应当对证券公司进行行政清理的，国务院证券监督管理机构比照本条例第三章的规定成立行政清理组，负责清理账户，协助甄别确认、收购符合国家规定的债权，协助证券投资者保护基金管理机构弥补客户的交易结算资金，转让证券类资产等。</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pStyle w:val="3"/>
        <w:keepNext w:val="0"/>
        <w:keepLines w:val="0"/>
        <w:pageBreakBefore w:val="0"/>
        <w:kinsoku/>
        <w:wordWrap/>
        <w:overflowPunct/>
        <w:topLinePunct w:val="0"/>
        <w:autoSpaceDE/>
        <w:autoSpaceDN/>
        <w:bidi w:val="0"/>
        <w:adjustRightInd/>
        <w:snapToGrid/>
        <w:spacing w:line="240" w:lineRule="auto"/>
        <w:jc w:val="center"/>
        <w:textAlignment w:val="auto"/>
        <w:rPr>
          <w:rFonts w:hint="eastAsia" w:ascii="黑体" w:hAnsi="黑体" w:eastAsia="黑体" w:cs="黑体"/>
          <w:sz w:val="32"/>
          <w:szCs w:val="32"/>
        </w:rPr>
      </w:pPr>
      <w:r>
        <w:rPr>
          <w:rFonts w:hint="eastAsia" w:ascii="黑体" w:hAnsi="黑体" w:eastAsia="黑体" w:cs="黑体"/>
          <w:sz w:val="32"/>
          <w:szCs w:val="32"/>
        </w:rPr>
        <w:t>第五章　监督协调</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国务院证券监督管理机构在处置证券公司风险工作中，履行下列职责：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制订证券公司风险处置方案并组织实施；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派驻风险处置现场工作组，对被处置证券公司、托管组、接管组、行政清理组、管理人以及参与风险处置的其他机构和人员进行监督和指导；</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协调证券交易所、证券登记结算机构、证券投资者保护基金管理机构，保障被处置证券公司证券经纪业务正常进行；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对证券公司的违法行为立案稽查并予以处罚；</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及时向公安机关等通报涉嫌刑事犯罪的情况，按照有关规定移送涉嫌犯罪的案件；</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向有关地方人民政府通报证券公司风险状况以及影响社会稳定的情况；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法律、行政法规要求履行的其他职责。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处置证券公司风险过程中，发现涉嫌犯罪的案件，属公安机关管辖的，应当由国务院公安部门统一组织依法查处。有关地方人民政府应当予以支持和配合。</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风险处置现场工作组、行政清理组和管理人需要从公安机关扣押资料中查询、复制与其工作有关资料的，公安机关应当支持和配合。证券公司进入破产程序的，公安机关应当依法将冻结的涉案资产移送给受理破产案件的人民法院，并留存必需的相关证据材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国务院证券监督管理机构依照本条例第二章、第三章对证券公司进行处置的，可以向人民法院提出申请中止以该证券公司以及其分支机构为被告、第三人或者被执行人的民事诉讼程序或者执行程序。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券公司设立或者实际控制的关联公司，其资产、人员、财务或者业务与被处置证券公司混合的，国务院证券监督管理机构可以向人民法院提出申请中止以该关联公司为被告、第三人或者被执行人的民事诉讼程序或者执行程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采取前两款规定措施期间，除本条例第三十一条规定的情形外，不得对被处置证券公司债务进行个别清偿。</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被处置证券公司或者其关联客户可能转移、隐匿违法资金、证券，或者证券公司违反本条例规定可能对债务进行个别清偿的，国务院证券监督管理机构可以禁止相关资金账户、证券账户的资金和证券转出。</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被处置证券公司以及其分支机构所在地人民政府，应当按照国家有关规定配合证券公司风险处置工作，制订维护社会稳定的预案，排查、预防和化解不稳定因素，维护被处置证券公司正常的营业秩序。</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被处置证券公司以及其分支机构所在地人民政府，应当组织相关单位的人员成立个人债权甄别确认小组，按照国家规定对已登记的个人债权进行甄别确认。</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证券投资者保护基金管理机构应当按照国家规定，收购债权、弥补客户的交易结算资金。</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证券投资者保护基金管理机构可以对证券投资者保护基金的使用情况进行检查。</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被处置证券公司的股东、实际控制人、债权人以及与被处置证券公司有关的机构和人员，应当配合证券公司风险处置工作。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被处置证券公司的董事、监事、高级管理人员以及其他有关人员应当妥善保管其使用和管理的证券公司财产、印章和账簿、文书等资料以及其他物品，按照要求向托管组、接管组、行政清理组或者管理人移交，并配合风险处置现场工作组、托管组、接管组、行政清理组的调查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托管组、接管组、行政清理组以及被责令停业整顿、托管和行政重组的证券公司，应当按照规定向国务院证券监督管理机构报告工作情况。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托管组、接管组、行政清理组以及其工作人员应当勤勉尽责，忠实履行职责。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被处置证券公司的股东以及债权人有证据证明托管组、接管组、行政清理组以及其工作人员未依法履行职责的，可以向国务院证券监督管理机构投诉。经调查核实，由国务院证券监督管理机构责令托管组、接管组、行政清理组以及其工作人员改正或者对其予以更换。</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有下列情形之一的机构或者人员，禁止参与处置证券公司风险工作：</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曾受过刑事处罚或者涉嫌犯罪正在被立案侦查、起诉；</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涉嫌严重违法正在被行政管理部门立案稽查或者曾因严重违法行为受到行政处罚</w:t>
      </w:r>
      <w:r>
        <w:rPr>
          <w:rFonts w:hint="default" w:ascii="Times New Roman" w:hAnsi="Times New Roman" w:eastAsia="仿宋_GB2312" w:cs="Times New Roman"/>
          <w:sz w:val="32"/>
          <w:szCs w:val="32"/>
        </w:rPr>
        <w:t>未逾3</w:t>
      </w:r>
      <w:r>
        <w:rPr>
          <w:rFonts w:hint="eastAsia" w:ascii="仿宋_GB2312" w:hAnsi="仿宋_GB2312" w:eastAsia="仿宋_GB2312" w:cs="仿宋_GB2312"/>
          <w:sz w:val="32"/>
          <w:szCs w:val="32"/>
        </w:rPr>
        <w:t>年；</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仍处于证券市场禁入期；</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内部控制薄弱、存在重大风险隐患；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与被处置证券公司处置事项有利害关系；</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国务院证券监督管理机构认定不宜参与处置证券公司风险工作的其他情形。</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lang w:val="en-US" w:eastAsia="zh-CN"/>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outlineLvl w:val="9"/>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第六章　法律责任</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证券公司的董事、监事、高级管理人员等对该证券公司被处置负有主要责任，情节严重的，可以按照规定对其采取证券市场禁入的措施。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rPr>
        <w:t>　被处置证券公司的董事、监事、高级管理人员等有关人员有下列情形之一的，处以</w:t>
      </w:r>
      <w:r>
        <w:rPr>
          <w:rFonts w:hint="default" w:ascii="Times New Roman" w:hAnsi="Times New Roman" w:eastAsia="仿宋_GB2312" w:cs="Times New Roman"/>
          <w:sz w:val="32"/>
          <w:szCs w:val="32"/>
        </w:rPr>
        <w:t>其年收入1倍以上2倍以下的罚款；情节严重的，处以其年收入2倍以上5倍以</w:t>
      </w:r>
      <w:r>
        <w:rPr>
          <w:rFonts w:hint="eastAsia" w:ascii="仿宋_GB2312" w:hAnsi="仿宋_GB2312" w:eastAsia="仿宋_GB2312" w:cs="仿宋_GB2312"/>
          <w:sz w:val="32"/>
          <w:szCs w:val="32"/>
        </w:rPr>
        <w:t>下的罚款，并可以按照规定对其采取证券市场禁入的措施：</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拒绝配合现场工作组、托管组、接管组、行政清理组依法履行职责；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拒绝向托管组、接管组、行政清理组移交财产、印章或者账簿、文书等资料；</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隐匿、销毁、伪造有关资料，或者故意提供虚假情况；</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隐匿财产，擅自转移、转让财产；</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妨碍证券公司正常经营管理秩序和业务运行，诱发不稳定因素；</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bookmarkStart w:id="0" w:name="_GoBack"/>
      <w:bookmarkEnd w:id="0"/>
      <w:r>
        <w:rPr>
          <w:rFonts w:hint="eastAsia" w:ascii="仿宋_GB2312" w:hAnsi="仿宋_GB2312" w:eastAsia="仿宋_GB2312" w:cs="仿宋_GB2312"/>
          <w:sz w:val="32"/>
          <w:szCs w:val="32"/>
        </w:rPr>
        <w:t>妨碍处置证券公司风险工作正常进行的其他情形。</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证券公司控股股东或者实际控制人指使董事、监事、高级管理人员有前款规定的违法行为的，对控股股东、实际控制人依照前款规定从重处罚。</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pStyle w:val="2"/>
        <w:keepNext w:val="0"/>
        <w:keepLines w:val="0"/>
        <w:pageBreakBefore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bCs w:val="0"/>
          <w:kern w:val="2"/>
          <w:sz w:val="32"/>
          <w:szCs w:val="32"/>
          <w:lang w:val="en-US" w:eastAsia="zh-CN" w:bidi="ar-SA"/>
        </w:rPr>
      </w:pPr>
      <w:r>
        <w:rPr>
          <w:rFonts w:hint="eastAsia" w:ascii="黑体" w:hAnsi="黑体" w:eastAsia="黑体" w:cs="黑体"/>
          <w:bCs w:val="0"/>
          <w:kern w:val="2"/>
          <w:sz w:val="32"/>
          <w:szCs w:val="32"/>
          <w:lang w:val="en-US" w:eastAsia="zh-CN" w:bidi="ar-SA"/>
        </w:rPr>
        <w:t>第七章　附　　则</w:t>
      </w: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32"/>
          <w:szCs w:val="32"/>
          <w:shd w:val="clear" w:color="auto" w:fill="FFFFFF"/>
        </w:rPr>
      </w:pP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证券公司因分立、合并或者出现公司章程规定的解散事由需要解散的，应当向国务院证券监督管理机构提出解散申请，并附解散理由和转让证券类资产、了结证券业务、安置客户等方案，经国务院证券监督管理机构批准后依法解散并清算，清算过程接受国务院证券监督管理机构的监督。</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rPr>
        <w:t>　期货公司风险处置参照本条例的规定执行。</w:t>
      </w:r>
    </w:p>
    <w:p>
      <w:pPr>
        <w:pStyle w:val="3"/>
        <w:keepNext w:val="0"/>
        <w:keepLines w:val="0"/>
        <w:pageBreakBefore w:val="0"/>
        <w:kinsoku/>
        <w:wordWrap/>
        <w:overflowPunct/>
        <w:topLinePunct w:val="0"/>
        <w:autoSpaceDE/>
        <w:autoSpaceDN/>
        <w:bidi w:val="0"/>
        <w:adjustRightInd/>
        <w:snapToGrid/>
        <w:spacing w:line="240" w:lineRule="auto"/>
        <w:ind w:firstLine="632" w:firstLineChars="200"/>
        <w:textAlignment w:val="auto"/>
      </w:pPr>
      <w:r>
        <w:rPr>
          <w:rFonts w:hint="eastAsia" w:ascii="黑体" w:hAnsi="黑体" w:eastAsia="黑体" w:cs="黑体"/>
          <w:sz w:val="32"/>
          <w:szCs w:val="32"/>
        </w:rPr>
        <w:t>第六十三条</w:t>
      </w:r>
      <w:r>
        <w:rPr>
          <w:rFonts w:hint="eastAsia" w:ascii="仿宋_GB2312" w:hAnsi="仿宋_GB2312" w:eastAsia="仿宋_GB2312" w:cs="仿宋_GB2312"/>
          <w:sz w:val="32"/>
          <w:szCs w:val="32"/>
        </w:rPr>
        <w:t>　本条例自公布之日起施行。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103E01"/>
    <w:rsid w:val="05A5708C"/>
    <w:rsid w:val="09A34AE0"/>
    <w:rsid w:val="0C00483C"/>
    <w:rsid w:val="0D9804AC"/>
    <w:rsid w:val="208F6602"/>
    <w:rsid w:val="24F5659E"/>
    <w:rsid w:val="251610A0"/>
    <w:rsid w:val="26705BD1"/>
    <w:rsid w:val="280C22E7"/>
    <w:rsid w:val="298A635B"/>
    <w:rsid w:val="2E354572"/>
    <w:rsid w:val="2EBA2A9C"/>
    <w:rsid w:val="37702892"/>
    <w:rsid w:val="3C460065"/>
    <w:rsid w:val="3DE63740"/>
    <w:rsid w:val="40400BE3"/>
    <w:rsid w:val="479733DA"/>
    <w:rsid w:val="481351D2"/>
    <w:rsid w:val="4AB1034C"/>
    <w:rsid w:val="518E5A5D"/>
    <w:rsid w:val="53543565"/>
    <w:rsid w:val="558A062C"/>
    <w:rsid w:val="57704780"/>
    <w:rsid w:val="622F12CF"/>
    <w:rsid w:val="629B76C0"/>
    <w:rsid w:val="65A90D38"/>
    <w:rsid w:val="65EC4433"/>
    <w:rsid w:val="68E56887"/>
    <w:rsid w:val="6A2E56A6"/>
    <w:rsid w:val="6BB80B1D"/>
    <w:rsid w:val="6D384E6C"/>
    <w:rsid w:val="775E649E"/>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qFormat/>
    <w:uiPriority w:val="9"/>
    <w:pPr>
      <w:keepNext/>
      <w:keepLines/>
      <w:spacing w:before="340" w:after="330" w:line="578" w:lineRule="auto"/>
      <w:jc w:val="center"/>
      <w:outlineLvl w:val="0"/>
    </w:pPr>
    <w:rPr>
      <w:rFonts w:eastAsia="黑体" w:asciiTheme="minorHAnsi" w:hAnsiTheme="minorHAnsi" w:cstheme="minorBidi"/>
      <w:bCs/>
      <w:kern w:val="44"/>
      <w:sz w:val="32"/>
      <w:szCs w:val="44"/>
    </w:rPr>
  </w:style>
  <w:style w:type="character" w:default="1" w:styleId="7">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字符"/>
    <w:link w:val="4"/>
    <w:qFormat/>
    <w:uiPriority w:val="99"/>
    <w:rPr>
      <w:sz w:val="18"/>
      <w:szCs w:val="18"/>
    </w:rPr>
  </w:style>
  <w:style w:type="character" w:customStyle="1" w:styleId="11">
    <w:name w:val="页眉 字符"/>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7906</Words>
  <Characters>7936</Characters>
  <Lines>1</Lines>
  <Paragraphs>1</Paragraphs>
  <TotalTime>18</TotalTime>
  <ScaleCrop>false</ScaleCrop>
  <LinksUpToDate>false</LinksUpToDate>
  <CharactersWithSpaces>8014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2023-09-07T10:54:37Z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