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金融资产管理公司条例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(2000年11月1日国务院第32次常务会议通过　2000年11月10日中华人民共和国国务院令第297号公布　自公布之日起施行)</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为了规范金融资产管理公司的活动，依法处理国有银行不良贷款，促进国有银行和国有企业的改革和发展，制定本条例。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金融资产管理公司，是指经国务院决定设立的收购国有银行不良贷款，管理和处置因收购国有银行不良贷款形成的资产的国有独资非银行金融机构。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金融资产管理公司以最大限度保全资产、减少损失为主要经营目标，依法独立承担民事责任。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中国人民银行、财政部和中国证券监督管理委员会依据各自的法定职责对金融资产管理公司实施监督管理。</w:t>
      </w:r>
    </w:p>
    <w:p>
      <w:pPr>
        <w:pStyle w:val="2"/>
        <w:rPr>
          <w:rFonts w:ascii="方正黑体_GBK"/>
        </w:rPr>
      </w:pPr>
      <w:r>
        <w:rPr>
          <w:rFonts w:hint="eastAsia" w:ascii="方正黑体_GBK" w:hAnsi="Times New Roman" w:cs="Times New Roman"/>
        </w:rPr>
        <w:t>第二章　公司的设立和业务范围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金融资产管理公司的注册资本为人民币100亿元，由财政部核拨。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金融资产管理公司由中国人民银行颁发《金融机构法人许可证》，并向工商行政管理部门依法办理登记。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金融资产管理公司设立分支机构，须经财政部同意，并报中国人民银行批准，由中国人民银行颁发《金融机构营业许可证》，并向工商行政管理部门依法办理登记。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金融资产管理公司设总裁1人、副总裁若干人。总裁、副总裁由国务院任命。总裁对外代表金融资产管理公司行使职权，负责金融资产管理公司的经营管理。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金融资产管理公司的高级管理人员须经中国人民银行审查任职资格。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金融资产管理公司监事会的组成、职责和工作程序，依照《国有重点金融机构监事会暂行条例》执行。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金融资产管理公司在其收购的国有银行不良贷款范围内，管理和处置因收购国有银行不良贷款形成的资产时，可以从事下列业务活动：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(一)追偿债务；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(二)对所收购的不良贷款形成的资产进行租赁或者以其他形式转让、重组；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(三)债权转股权，并对企业阶段性持股；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(四)资产管理范围内公司的上市推荐及债券、股票承销；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(五)发行金融债券，向金融机构借款；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(六)财务及法律咨询，资产及项目评估；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(七)中国人民银行、中国证券监督管理委员会批准的其他业务活动。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金融资产管理公司可以向中国人民银行申请再贷款。</w:t>
      </w:r>
    </w:p>
    <w:p>
      <w:pPr>
        <w:pStyle w:val="2"/>
        <w:rPr>
          <w:rFonts w:ascii="方正黑体_GBK"/>
        </w:rPr>
      </w:pPr>
      <w:r>
        <w:rPr>
          <w:rFonts w:hint="eastAsia" w:ascii="方正黑体_GBK" w:hAnsi="Times New Roman" w:cs="Times New Roman"/>
        </w:rPr>
        <w:t>第三章　收购不良贷款的范围、额度及资金来源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金融资产管理公司按照国务院确定的范围和额度收购国有银行不良贷款；超出确定的范围或者额度收购的，须经国务院专项审批。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在国务院确定的额度内，金融资产管理公司按照账面价值收购有关贷款本金和相对应的计入损益的应收未收利息；对未计入损益的应收未收利息，实行无偿划转。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金融资产管理公司收购不良贷款后，即取得原债权人对债务人的各项权利。原借款合同的债务人、担保人及有关当事人应当继续履行合同规定的义务。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金融资产管理公司收购不良贷款的资金来源包括：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(一)划转中国人民银行发放给国有独资商业银行的部分再贷款；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(二)发行金融债券。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中国人民银行发放给国有独资商业银行的再贷款划转给金融资产管理公司，实行固定利率，年利率为2.25%。</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金融资产管理公司发行金融债券，由中国人民银行会同财政部审批。</w:t>
      </w:r>
    </w:p>
    <w:p>
      <w:pPr>
        <w:pStyle w:val="2"/>
        <w:rPr>
          <w:rFonts w:ascii="方正黑体_GBK"/>
        </w:rPr>
      </w:pPr>
      <w:r>
        <w:rPr>
          <w:rFonts w:hint="eastAsia" w:ascii="方正黑体_GBK" w:hAnsi="Times New Roman" w:cs="Times New Roman"/>
        </w:rPr>
        <w:t>第四章　债权转股权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金融资产管理公司可以将收购国有银行不良贷款取得的债权转为对借款企业的股权。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金融资产管理公司持有的股权，不受本公司净资产额或者注册资本的比例限制。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实施债权转股权，应当贯彻国家产业政策，有利于优化经济结构，促进有关企业的技术进步和产品升级。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实施债权转股权的企业，由国家经济贸易委员会向金融资产管理公司推荐。金融资产管理公司对被推荐的企业进行独立评审，制定企业债权转股权的方案并与企业签订债权转股权协议。债权转股权的方案和协议由国家经济贸易委员会会同财政部、中国人民银行审核，报国务院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实施债权转股权的企业，应当按照现代企业制度的要求，转换经营机制，建立规范的公司法人治理结构，加强企业管理。有关地方人民政府应当帮助企业减员增效、下岗分流，分离企业办社会的职能。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金融资产管理公司的债权转股权后，作为企业的股东，可以派员参加企业董事会、监事会，依法行使股东权利。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金融资产管理公司持有的企业股权，可以按照国家有关规定向境内外投资者转让，也可以由债权转股权企业依法回购。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企业实施债权转股权后，应当按照国家有关规定办理企业产权变更等有关登记。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国家经济贸易委员会负责组织、指导、协调企业债权转股权工作。</w:t>
      </w:r>
    </w:p>
    <w:p>
      <w:pPr>
        <w:pStyle w:val="2"/>
        <w:rPr>
          <w:rFonts w:ascii="方正黑体_GBK"/>
        </w:rPr>
      </w:pPr>
      <w:r>
        <w:rPr>
          <w:rFonts w:hint="eastAsia" w:ascii="方正黑体_GBK" w:hAnsi="Times New Roman" w:cs="Times New Roman"/>
        </w:rPr>
        <w:t>第五章　公司的经营和管理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金融资产管理公司实行经营目标责任制。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财政部根据不良贷款质量的情况，确定金融资产管理公司处置不良贷款的经营目标，并进行考核和监督。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金融资产管理公司应当根据不良贷款的特点，制定经营方针和有关措施，完善内部治理结构，建立内部约束机制和激励机制。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金融资产管理公司管理、处置因收购国有银行不良贷款形成的资产，应当按照公开、竞争、择优的原则运作。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金融资产管理公司转让资产，主要采取招标、拍卖等方式。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金融资产管理公司的债权因债务人破产等原因得不到清偿的，按照国务院的规定处理。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金融资产管理公司资产处置管理办法由财政部制定。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金融资产管理公司根据业务需要，可以聘请具有会计、资产评估和法律服务等资格的中介机构协助开展业务。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金融资产管理公司免交在收购国有银行不良贷款和承接、处置因收购国有银行不良贷款形成的资产的业务活动中的税收。具体办法由财政部会同国家税务总局制定。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金融资产管理公司免交工商登记注册费等行政性收费。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金融资产管理公司应当按照中国人民银行、财政部和中国证券监督管理委员会等有关部门的要求，报送财务、统计报表和其他有关材料。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金融资产管理公司应当依法接受审计机关的审计监督。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金融资产管理公司应当聘请财政部认可的注册会计师对其财务状况进行年度审计，并将审计报告及时报送各有关监督管理部门。</w:t>
      </w:r>
    </w:p>
    <w:p>
      <w:pPr>
        <w:pStyle w:val="2"/>
        <w:rPr>
          <w:rFonts w:ascii="方正黑体_GBK"/>
        </w:rPr>
      </w:pPr>
      <w:r>
        <w:rPr>
          <w:rFonts w:hint="eastAsia" w:ascii="方正黑体_GBK" w:hAnsi="Times New Roman" w:cs="Times New Roman"/>
        </w:rPr>
        <w:t>第六章　公司的终止和清算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金融资产管理公司终止时，由财政部组织清算组，进行清算。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金融资产管理公司处置不良贷款形成的最终损失，由财政部提出解决方案，报国务院批准执行。</w:t>
      </w:r>
    </w:p>
    <w:p>
      <w:pPr>
        <w:pStyle w:val="2"/>
        <w:rPr>
          <w:rFonts w:ascii="方正黑体_GBK"/>
        </w:rPr>
      </w:pPr>
      <w:r>
        <w:rPr>
          <w:rFonts w:hint="eastAsia" w:ascii="方正黑体_GBK" w:hAnsi="Times New Roman"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金融资产管理公司违反金融法律、行政法规的，由中国人民银行依照有关法律和《金融违法行为处罚办法》给予处罚；违反其他有关法律、行政法规的，由有关部门依法给予处罚；构成犯罪的，依法追究刑事责任。</w:t>
      </w:r>
    </w:p>
    <w:p>
      <w:pPr>
        <w:ind w:firstLine="640" w:firstLineChars="200"/>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9A575EB"/>
    <w:rsid w:val="008E64F7"/>
    <w:rsid w:val="00B65ABE"/>
    <w:rsid w:val="00C01039"/>
    <w:rsid w:val="08E93891"/>
    <w:rsid w:val="14D53C4F"/>
    <w:rsid w:val="361F7831"/>
    <w:rsid w:val="39A575EB"/>
    <w:rsid w:val="3F6E36BC"/>
    <w:rsid w:val="6FC26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412</Words>
  <Characters>2350</Characters>
  <Lines>19</Lines>
  <Paragraphs>5</Paragraphs>
  <TotalTime>0</TotalTime>
  <ScaleCrop>false</ScaleCrop>
  <LinksUpToDate>false</LinksUpToDate>
  <CharactersWithSpaces>2757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2019-05-22T14:15:00Z</dcterms:created>
  <dc:creator>Administrator</dc:creator>
  <cp:lastModifiedBy>Administrator</cp:lastModifiedBy>
  <cp:lastPrinted>2019-05-25T01:27:00Z</cp:lastPrinted>
  <dcterms:modified xsi:type="dcterms:W3CDTF">2019-07-05T07:38:31Z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