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kinsoku/>
        <w:wordWrap/>
        <w:overflowPunct/>
        <w:topLinePunct w:val="0"/>
        <w:autoSpaceDE/>
        <w:autoSpaceDN/>
        <w:bidi w:val="0"/>
        <w:adjustRightInd/>
        <w:snapToGrid/>
        <w:spacing w:line="240" w:lineRule="auto"/>
        <w:ind w:firstLine="0" w:firstLineChars="0"/>
        <w:jc w:val="center"/>
        <w:textAlignment w:val="auto"/>
        <w:rPr>
          <w:rFonts w:hint="eastAsia" w:ascii="宋体" w:hAnsi="宋体" w:eastAsia="宋体" w:cs="宋体"/>
          <w:color w:val="333333"/>
          <w:sz w:val="44"/>
          <w:szCs w:val="44"/>
          <w:shd w:val="clear" w:color="auto" w:fill="FFFFFF"/>
        </w:rPr>
      </w:pPr>
      <w:r>
        <w:rPr>
          <w:rFonts w:hint="eastAsia" w:ascii="宋体" w:hAnsi="宋体" w:eastAsia="宋体" w:cs="宋体"/>
          <w:color w:val="333333"/>
          <w:sz w:val="44"/>
          <w:szCs w:val="44"/>
          <w:shd w:val="clear" w:color="auto" w:fill="FFFFFF"/>
        </w:rPr>
        <w:t>长江河道采砂管理条例</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rPr>
      </w:pPr>
    </w:p>
    <w:p>
      <w:pPr>
        <w:keepNext w:val="0"/>
        <w:keepLines w:val="0"/>
        <w:pageBreakBefore w:val="0"/>
        <w:widowControl/>
        <w:kinsoku/>
        <w:wordWrap/>
        <w:overflowPunct/>
        <w:topLinePunct w:val="0"/>
        <w:autoSpaceDE/>
        <w:autoSpaceDN/>
        <w:bidi w:val="0"/>
        <w:adjustRightInd/>
        <w:snapToGrid/>
        <w:spacing w:line="240" w:lineRule="auto"/>
        <w:ind w:left="632" w:leftChars="200" w:right="632" w:rightChars="200" w:firstLine="0" w:firstLineChars="0"/>
        <w:jc w:val="both"/>
        <w:textAlignment w:val="auto"/>
        <w:rPr>
          <w:rFonts w:hint="eastAsia" w:ascii="楷体_GB2312" w:hAnsi="楷体_GB2312" w:eastAsia="楷体_GB2312" w:cs="楷体_GB2312"/>
          <w:bCs/>
          <w:spacing w:val="6"/>
          <w:kern w:val="2"/>
          <w:sz w:val="32"/>
          <w:szCs w:val="32"/>
          <w:shd w:val="clear" w:color="auto" w:fill="FFFFFF"/>
          <w:lang w:val="en-US" w:eastAsia="zh-CN" w:bidi="ar-SA"/>
        </w:rPr>
      </w:pPr>
      <w:r>
        <w:rPr>
          <w:rFonts w:hint="eastAsia" w:ascii="楷体_GB2312" w:hAnsi="楷体_GB2312" w:eastAsia="楷体_GB2312" w:cs="楷体_GB2312"/>
          <w:bCs/>
          <w:spacing w:val="6"/>
          <w:kern w:val="2"/>
          <w:sz w:val="32"/>
          <w:szCs w:val="32"/>
          <w:shd w:val="clear" w:color="auto" w:fill="FFFFFF"/>
          <w:lang w:val="en-US" w:eastAsia="zh-CN" w:bidi="ar-SA"/>
        </w:rPr>
        <w:t>（</w:t>
      </w:r>
      <w:r>
        <w:rPr>
          <w:rFonts w:hint="default" w:ascii="Times New Roman" w:hAnsi="Times New Roman" w:eastAsia="楷体_GB2312" w:cs="Times New Roman"/>
          <w:spacing w:val="6"/>
          <w:sz w:val="32"/>
          <w:szCs w:val="32"/>
        </w:rPr>
        <w:t>2001</w:t>
      </w:r>
      <w:bookmarkStart w:id="0" w:name="_GoBack"/>
      <w:bookmarkEnd w:id="0"/>
      <w:r>
        <w:rPr>
          <w:rFonts w:hint="default" w:ascii="Times New Roman" w:hAnsi="Times New Roman" w:eastAsia="楷体_GB2312" w:cs="Times New Roman"/>
          <w:spacing w:val="6"/>
          <w:sz w:val="32"/>
          <w:szCs w:val="32"/>
        </w:rPr>
        <w:t>年10月25日中华人民共和国国务院令第320号公布　</w:t>
      </w:r>
      <w:r>
        <w:rPr>
          <w:rFonts w:hint="default" w:ascii="Times New Roman" w:hAnsi="Times New Roman" w:eastAsia="楷体_GB2312" w:cs="Times New Roman"/>
          <w:sz w:val="32"/>
          <w:szCs w:val="32"/>
          <w:lang w:bidi="ar"/>
        </w:rPr>
        <w:t>根据2023年7月20日《国务院关于修改和废止部分行政法规的决定》修</w:t>
      </w:r>
      <w:r>
        <w:rPr>
          <w:rFonts w:hint="eastAsia" w:ascii="楷体_GB2312" w:hAnsi="Times New Roman" w:eastAsia="楷体_GB2312" w:cs="Times New Roman"/>
          <w:sz w:val="32"/>
          <w:szCs w:val="32"/>
          <w:lang w:bidi="ar"/>
        </w:rPr>
        <w:t>订</w:t>
      </w:r>
      <w:r>
        <w:rPr>
          <w:rFonts w:hint="eastAsia" w:ascii="楷体_GB2312" w:hAnsi="楷体_GB2312" w:eastAsia="楷体_GB2312" w:cs="楷体_GB2312"/>
          <w:bCs/>
          <w:spacing w:val="6"/>
          <w:kern w:val="2"/>
          <w:sz w:val="32"/>
          <w:szCs w:val="32"/>
          <w:shd w:val="clear" w:color="auto" w:fill="FFFFFF"/>
          <w:lang w:val="en-US" w:eastAsia="zh-CN" w:bidi="ar-SA"/>
        </w:rPr>
        <w:t>）</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z w:val="32"/>
          <w:szCs w:val="32"/>
          <w:lang w:val="en-US" w:eastAsia="zh-CN"/>
        </w:rPr>
      </w:pP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第一条</w:t>
      </w:r>
      <w:r>
        <w:rPr>
          <w:rFonts w:hint="eastAsia" w:ascii="仿宋_GB2312" w:hAnsi="仿宋_GB2312" w:eastAsia="仿宋_GB2312" w:cs="仿宋_GB2312"/>
          <w:sz w:val="32"/>
          <w:szCs w:val="32"/>
        </w:rPr>
        <w:t>　为了加强长江河道采砂管理，维护长江河势稳定，保障防洪和通航安全，制定本条例。</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第二条</w:t>
      </w:r>
      <w:r>
        <w:rPr>
          <w:rFonts w:hint="eastAsia" w:ascii="仿宋_GB2312" w:hAnsi="仿宋_GB2312" w:eastAsia="仿宋_GB2312" w:cs="仿宋_GB2312"/>
          <w:sz w:val="32"/>
          <w:szCs w:val="32"/>
        </w:rPr>
        <w:t>　在长江宜宾以下干流河道内从事开采砂石</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以下简称长江采砂</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及其管理活动的，应当遵守本条例。</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第三条</w:t>
      </w:r>
      <w:r>
        <w:rPr>
          <w:rFonts w:hint="eastAsia" w:ascii="仿宋_GB2312" w:hAnsi="仿宋_GB2312" w:eastAsia="仿宋_GB2312" w:cs="仿宋_GB2312"/>
          <w:sz w:val="32"/>
          <w:szCs w:val="32"/>
        </w:rPr>
        <w:t>　国务院水行政主管部门及其所属的长江水利委员会应当加强对长江采砂的统一管理和监督检查，并做好有关组织、协调和指导工作。</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长江采砂管理，实行地方人民政府行政首长负责制。沿江县级以上地方人民政府应当加强对本行政区域内长江采砂活动的管理，做好长江采砂的组织、协调和监督检查工作。</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沿江县级以上地方人民政府水行政主管部门依照本条例的规定，具体负责本行政区域内长江采砂的管理和监督检查工作。</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国务院交通行政主管部门所属的长江航务管理局负责长江航道管理工作，长江海事机构负责长江交通安全的监督管理工作。公安部门负责长江水上治安管理工作，依法打击长江采砂活动中的犯罪行为。</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第四条</w:t>
      </w:r>
      <w:r>
        <w:rPr>
          <w:rFonts w:hint="eastAsia" w:ascii="仿宋_GB2312" w:hAnsi="仿宋_GB2312" w:eastAsia="仿宋_GB2312" w:cs="仿宋_GB2312"/>
          <w:sz w:val="32"/>
          <w:szCs w:val="32"/>
        </w:rPr>
        <w:t>　国家对长江采砂实行统一规划制度。</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江采砂规划由长江水利委员会会同四川省、湖北省、湖南省、江西省、安徽省、江苏省和重庆市、上海市人民政府水行政主管部门编制，经征求长江航务管理局和长江海事机构意见后，报国务院水行政主管部门批准。国务院水行政主管部门批准前，应当征求国务院交通行政主管部门的意见。</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长江采砂规划一经批准，必须严格执行；确需修改时，应当依照前款规定批准。</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长江采砂规划批准实施前，长江水利委员会可以会同沿江省、直辖市人民政府水行政主管部门、长江航务管理局和长江海事机构确定禁采区和禁采期，报国务院水行政主管部门批准。</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第五条</w:t>
      </w:r>
      <w:r>
        <w:rPr>
          <w:rFonts w:hint="eastAsia" w:ascii="仿宋_GB2312" w:hAnsi="仿宋_GB2312" w:eastAsia="仿宋_GB2312" w:cs="仿宋_GB2312"/>
          <w:sz w:val="32"/>
          <w:szCs w:val="32"/>
        </w:rPr>
        <w:t>　长江采砂规划应当充分考虑长江防洪安全和通航安全的要求，符合长江流域综合规划和长江防洪、河道整治以及航道整治等专业规划。</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第六条</w:t>
      </w:r>
      <w:r>
        <w:rPr>
          <w:rFonts w:hint="eastAsia" w:ascii="仿宋_GB2312" w:hAnsi="仿宋_GB2312" w:eastAsia="仿宋_GB2312" w:cs="仿宋_GB2312"/>
          <w:sz w:val="32"/>
          <w:szCs w:val="32"/>
        </w:rPr>
        <w:t>　长江采砂规划应当包括下列内容：</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禁采区和可采区；</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禁采期和可采期；</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年度采砂控制总量；</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可采区内采砂船只的控制数量。</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第七条</w:t>
      </w:r>
      <w:r>
        <w:rPr>
          <w:rFonts w:hint="eastAsia" w:ascii="仿宋_GB2312" w:hAnsi="仿宋_GB2312" w:eastAsia="仿宋_GB2312" w:cs="仿宋_GB2312"/>
          <w:sz w:val="32"/>
          <w:szCs w:val="32"/>
        </w:rPr>
        <w:t>　沿江省、直辖市人民政府水行政主管部门根据长江采砂规划，可以拟订本行政区域内长江采砂规划实施方案，报本级人民政府批准后实施，并报长江水利委员会、长江航务管理局备案。</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沿江省、直辖市人民政府应当将长江采砂规划确定的禁采区和禁采期予以公告。</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沿江省、直辖市人民政府水行政主管部门可以根据本行政区域内长江的水情、工情、汛情、航道变迁和管理等需要，在长江采砂规划确定的禁采区、禁采期外增加禁采范围、延长禁采期限，报本级人民政府决定后公告。</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第八条</w:t>
      </w:r>
      <w:r>
        <w:rPr>
          <w:rFonts w:hint="eastAsia" w:ascii="仿宋_GB2312" w:hAnsi="仿宋_GB2312" w:eastAsia="仿宋_GB2312" w:cs="仿宋_GB2312"/>
          <w:sz w:val="32"/>
          <w:szCs w:val="32"/>
        </w:rPr>
        <w:t>　长江水利委员会和沿江省、直辖市人民政府水行政主管部门应当加强对长江采砂规划实施情况的监督检查。</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第九条</w:t>
      </w:r>
      <w:r>
        <w:rPr>
          <w:rFonts w:hint="eastAsia" w:ascii="仿宋_GB2312" w:hAnsi="仿宋_GB2312" w:eastAsia="仿宋_GB2312" w:cs="仿宋_GB2312"/>
          <w:sz w:val="32"/>
          <w:szCs w:val="32"/>
        </w:rPr>
        <w:t>　国家对长江采砂实行采砂许可制度。</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道采砂许可证由沿江省、直辖市人民政府水行政主管部门审批发放；属于省际边界重点河段的，经有关省、直辖市人民政府水行政主管部门签署意见后，由长江水利委员会审批发放；涉及航道的，审批发放前应当征求长江航务管理局和长江海事机构的意见。省际边界重点河段的范围由国务院水行政主管部门划定。</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河道采砂许可证式样由国务院水行政主管部门规定，由沿江省、直辖市人民政府水行政主管部门和长江水利委员会印制。</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第十条</w:t>
      </w:r>
      <w:r>
        <w:rPr>
          <w:rFonts w:hint="eastAsia" w:ascii="仿宋_GB2312" w:hAnsi="仿宋_GB2312" w:eastAsia="仿宋_GB2312" w:cs="仿宋_GB2312"/>
          <w:sz w:val="32"/>
          <w:szCs w:val="32"/>
        </w:rPr>
        <w:t>　从事长江采砂活动的单位和个人应当向沿江市、县人民政府水行政主管部门提出申请；符合下列条件的，由长江水利委员会或者沿江省、直辖市人民政府水行政主管部门依照本条例第九条的规定，审批发放河道采砂许可证：</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符合长江采砂规划确定的可采区和可采期的要求；</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符合年度采砂控制总量的要求；</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符合规定的作业方式；</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四</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符合采砂船只数量的控制要求；</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五</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采砂船舶、船员证书齐全；</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六</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有符合要求的采砂设备和采砂技术人员；</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七</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长江水利委员会或者沿江省、直辖市人民政府水行政主管部门规定的其他条件。</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县人民政府水行政主管部门应当自收到申请之日起10日内签署意见后，报送沿江省、直辖市人民政府水行政主管部门审批；属于省际边界重点河段的，经有关省、直辖市人民政府水行政主管部门签署意见后，报送长江水利委员会审批。长江水利委员会或者沿江省、直辖市人民政府水行政主管部门应当自收到申请之日</w:t>
      </w:r>
      <w:r>
        <w:rPr>
          <w:rFonts w:hint="default" w:ascii="Times New Roman" w:hAnsi="Times New Roman" w:eastAsia="仿宋_GB2312" w:cs="Times New Roman"/>
          <w:sz w:val="32"/>
          <w:szCs w:val="32"/>
        </w:rPr>
        <w:t>起30日内予以审批；不予批准的，应当在作出不予批准决定之日起7日内</w:t>
      </w:r>
      <w:r>
        <w:rPr>
          <w:rFonts w:hint="eastAsia" w:ascii="仿宋_GB2312" w:hAnsi="仿宋_GB2312" w:eastAsia="仿宋_GB2312" w:cs="仿宋_GB2312"/>
          <w:sz w:val="32"/>
          <w:szCs w:val="32"/>
        </w:rPr>
        <w:t>通知申请人，并说明理由。</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第十一条</w:t>
      </w:r>
      <w:r>
        <w:rPr>
          <w:rFonts w:hint="eastAsia" w:ascii="仿宋_GB2312" w:hAnsi="仿宋_GB2312" w:eastAsia="仿宋_GB2312" w:cs="仿宋_GB2312"/>
          <w:sz w:val="32"/>
          <w:szCs w:val="32"/>
        </w:rPr>
        <w:t>　河道采砂许可证应当载明船主姓名</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名称</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、船名、船号和开采的性质、种类、地点、时限以及作业方式、弃料处理方式、许可证的有效期限等有关事项和内容。</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第十二条</w:t>
      </w:r>
      <w:r>
        <w:rPr>
          <w:rFonts w:hint="eastAsia" w:ascii="仿宋_GB2312" w:hAnsi="仿宋_GB2312" w:eastAsia="仿宋_GB2312" w:cs="仿宋_GB2312"/>
          <w:sz w:val="32"/>
          <w:szCs w:val="32"/>
        </w:rPr>
        <w:t>　从事长江采砂活动的单位和个人应当按照河道采砂许可证的规定进行开采。有关县级以上地方人民政府水行政主管部门和长江水利委员会应当按照职责划分对其加强监督检查。</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从事长江采砂活动的单位和个人需要改变河道采砂许可证规定的事项和内容的，应当重新办理河道采砂许可证。</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禁止伪造、涂改或者买卖、出租、出借或者以其他方式转让河道采砂许可证。</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第十三条</w:t>
      </w:r>
      <w:r>
        <w:rPr>
          <w:rFonts w:hint="eastAsia" w:ascii="仿宋_GB2312" w:hAnsi="仿宋_GB2312" w:eastAsia="仿宋_GB2312" w:cs="仿宋_GB2312"/>
          <w:sz w:val="32"/>
          <w:szCs w:val="32"/>
        </w:rPr>
        <w:t>　为保障航道畅通和航行安全，采砂作业应当服从通航要求，并设立明显标志。</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第十四条</w:t>
      </w:r>
      <w:r>
        <w:rPr>
          <w:rFonts w:hint="eastAsia" w:ascii="仿宋_GB2312" w:hAnsi="仿宋_GB2312" w:eastAsia="仿宋_GB2312" w:cs="仿宋_GB2312"/>
          <w:sz w:val="32"/>
          <w:szCs w:val="32"/>
        </w:rPr>
        <w:t>　长江水利委员会和沿江省、直辖市人民政府水行政主管部门年审批采砂总量不得超过规划确定的年度采砂控制总量。</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沿江省、直辖市人民政府水行政主管部门应当在每</w:t>
      </w:r>
      <w:r>
        <w:rPr>
          <w:rFonts w:hint="eastAsia" w:ascii="Times New Roman" w:hAnsi="Times New Roman" w:eastAsia="仿宋_GB2312" w:cs="Times New Roman"/>
          <w:sz w:val="32"/>
          <w:szCs w:val="32"/>
        </w:rPr>
        <w:t>年1月31日前将上一年度的长江</w:t>
      </w:r>
      <w:r>
        <w:rPr>
          <w:rFonts w:hint="eastAsia" w:ascii="仿宋_GB2312" w:hAnsi="仿宋_GB2312" w:eastAsia="仿宋_GB2312" w:cs="仿宋_GB2312"/>
          <w:sz w:val="32"/>
          <w:szCs w:val="32"/>
        </w:rPr>
        <w:t>采砂审批发证情况和实施情况，报长江水利委员会备案。</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第十五条</w:t>
      </w:r>
      <w:r>
        <w:rPr>
          <w:rFonts w:hint="eastAsia" w:ascii="仿宋_GB2312" w:hAnsi="仿宋_GB2312" w:eastAsia="仿宋_GB2312" w:cs="仿宋_GB2312"/>
          <w:sz w:val="32"/>
          <w:szCs w:val="32"/>
        </w:rPr>
        <w:t>　沿江县级以上地方人民政府水行政主管部门因整修长江堤防进行吹填固基或者整治长江河道采砂的，应当经本省、直辖市人民政府水行政主管部门审查，并报长江水利委员会批准；长江航务管理局因整治长江航道采砂的，应当事先征求长江水利委员会的意见。</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因吹填造地从事采砂活动的单位和个人，应当依法申请河道采砂许可证。</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第十六条</w:t>
      </w:r>
      <w:r>
        <w:rPr>
          <w:rFonts w:hint="eastAsia" w:ascii="仿宋_GB2312" w:hAnsi="仿宋_GB2312" w:eastAsia="仿宋_GB2312" w:cs="仿宋_GB2312"/>
          <w:sz w:val="32"/>
          <w:szCs w:val="32"/>
        </w:rPr>
        <w:t>　除按照河道采砂许可证规定的期限在可采区作业外，采砂船舶应当集中停放在沿江县级人民政府指定的地点，并由采砂船舶所有者或者使用者负责管护。无正当理由，不得擅自离开指定的地点。</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第十七条</w:t>
      </w:r>
      <w:r>
        <w:rPr>
          <w:rFonts w:hint="eastAsia" w:ascii="仿宋_GB2312" w:hAnsi="仿宋_GB2312" w:eastAsia="仿宋_GB2312" w:cs="仿宋_GB2312"/>
          <w:sz w:val="32"/>
          <w:szCs w:val="32"/>
        </w:rPr>
        <w:t>　禁止运输、收购、销售未取得河道采砂许可证的单位、个人开采的长江河道砂石。</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长江水利委员会应当会同沿江省、直辖市人民政府水行政主管部门及有关部门、长江航务管理局、长江海事机构等单位建立统一的长江河道采砂管理信息平台，推进实施长江河道砂石开采、运输、收购、销售全过程追溯。</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第十八条</w:t>
      </w:r>
      <w:r>
        <w:rPr>
          <w:rFonts w:hint="eastAsia" w:ascii="仿宋_GB2312" w:hAnsi="仿宋_GB2312" w:eastAsia="仿宋_GB2312" w:cs="仿宋_GB2312"/>
          <w:sz w:val="32"/>
          <w:szCs w:val="32"/>
        </w:rPr>
        <w:t>　违反本条例规定，未办理河道采砂许可证，擅自在长江采砂的，由县级以上地方人民政府水行政主管部门或者长江水利委员会依据职权，责令停止违法行为，没收违法开采的砂石和违法所得以及采砂船舶和挖掘机械等作业设备、工具，并处违法开采的砂石货值金</w:t>
      </w:r>
      <w:r>
        <w:rPr>
          <w:rFonts w:hint="eastAsia" w:ascii="Times New Roman" w:hAnsi="Times New Roman" w:eastAsia="仿宋_GB2312" w:cs="Times New Roman"/>
          <w:sz w:val="32"/>
          <w:szCs w:val="32"/>
        </w:rPr>
        <w:t>额2倍以上20倍以下的罚款；货值金额不足10万元的，并处20万元以上200万元</w:t>
      </w:r>
      <w:r>
        <w:rPr>
          <w:rFonts w:hint="eastAsia" w:ascii="仿宋_GB2312" w:hAnsi="仿宋_GB2312" w:eastAsia="仿宋_GB2312" w:cs="仿宋_GB2312"/>
          <w:sz w:val="32"/>
          <w:szCs w:val="32"/>
        </w:rPr>
        <w:t>以下的罚款；构成犯罪的，依法追究刑事责任。</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第十九条</w:t>
      </w:r>
      <w:r>
        <w:rPr>
          <w:rFonts w:hint="eastAsia" w:ascii="仿宋_GB2312" w:hAnsi="仿宋_GB2312" w:eastAsia="仿宋_GB2312" w:cs="仿宋_GB2312"/>
          <w:sz w:val="32"/>
          <w:szCs w:val="32"/>
        </w:rPr>
        <w:t>　违反本条例规定，采砂单位、个人未按照河道采砂许可证规定的要求采砂的，由县级以上地方人民政府水行政主管部门或者长江水利委员会依据职权，责令停止违法行为，没收违法开采的砂石和违法所得，并处违法开采的</w:t>
      </w:r>
      <w:r>
        <w:rPr>
          <w:rFonts w:hint="eastAsia" w:ascii="Times New Roman" w:hAnsi="Times New Roman" w:eastAsia="仿宋_GB2312" w:cs="Times New Roman"/>
          <w:sz w:val="32"/>
          <w:szCs w:val="32"/>
        </w:rPr>
        <w:t>砂石货值金额1倍以上2倍以下的罚款；情节严重或者在禁</w:t>
      </w:r>
      <w:r>
        <w:rPr>
          <w:rFonts w:hint="eastAsia" w:ascii="仿宋_GB2312" w:hAnsi="仿宋_GB2312" w:eastAsia="仿宋_GB2312" w:cs="仿宋_GB2312"/>
          <w:sz w:val="32"/>
          <w:szCs w:val="32"/>
        </w:rPr>
        <w:t>采区、禁采期采砂的，没收违法开采的砂石和违法所得以及采砂船舶和挖掘机械等作业设备、工具，吊销河道采砂许可证，并处违法开采的砂石货</w:t>
      </w:r>
      <w:r>
        <w:rPr>
          <w:rFonts w:hint="eastAsia" w:ascii="Times New Roman" w:hAnsi="Times New Roman" w:eastAsia="仿宋_GB2312" w:cs="Times New Roman"/>
          <w:sz w:val="32"/>
          <w:szCs w:val="32"/>
        </w:rPr>
        <w:t>值金额2倍以上20倍以下的罚款，货值金额不足10万元的，并处20万元以上200万元以下</w:t>
      </w:r>
      <w:r>
        <w:rPr>
          <w:rFonts w:hint="eastAsia" w:ascii="仿宋_GB2312" w:hAnsi="仿宋_GB2312" w:eastAsia="仿宋_GB2312" w:cs="仿宋_GB2312"/>
          <w:sz w:val="32"/>
          <w:szCs w:val="32"/>
        </w:rPr>
        <w:t>的罚款；构成犯罪的，依法追究刑事责任。</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第二十条</w:t>
      </w:r>
      <w:r>
        <w:rPr>
          <w:rFonts w:hint="eastAsia" w:ascii="仿宋_GB2312" w:hAnsi="仿宋_GB2312" w:eastAsia="仿宋_GB2312" w:cs="仿宋_GB2312"/>
          <w:sz w:val="32"/>
          <w:szCs w:val="32"/>
        </w:rPr>
        <w:t>　违反本条例规定，运输、收购、销售未取得河道采砂许可证的单位、个人开采的长江河道砂石的，由县级以上地方人民政府水行政主管部门、长江水利委员会、有关海事管理机构以及县级以上地方人民政府其他有关部门依</w:t>
      </w:r>
      <w:r>
        <w:rPr>
          <w:rFonts w:hint="eastAsia" w:ascii="Times New Roman" w:hAnsi="Times New Roman" w:eastAsia="仿宋_GB2312" w:cs="Times New Roman"/>
          <w:sz w:val="32"/>
          <w:szCs w:val="32"/>
        </w:rPr>
        <w:t>据职权，责令停止违法行为，没收违法运输、收购、销售的砂石和违法所得，并处2万元以上20万元以下的罚款；情节严重的，并处20万元以上200万元以下的罚款；构成犯罪的，依法追究刑事</w:t>
      </w:r>
      <w:r>
        <w:rPr>
          <w:rFonts w:hint="eastAsia" w:ascii="仿宋_GB2312" w:hAnsi="仿宋_GB2312" w:eastAsia="仿宋_GB2312" w:cs="仿宋_GB2312"/>
          <w:sz w:val="32"/>
          <w:szCs w:val="32"/>
        </w:rPr>
        <w:t>责任。</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第二十一条</w:t>
      </w:r>
      <w:r>
        <w:rPr>
          <w:rFonts w:hint="eastAsia" w:ascii="仿宋_GB2312" w:hAnsi="仿宋_GB2312" w:eastAsia="仿宋_GB2312" w:cs="仿宋_GB2312"/>
          <w:sz w:val="32"/>
          <w:szCs w:val="32"/>
        </w:rPr>
        <w:t>　违反本条例规定，采砂船舶未在指定地点集中停放或者无正当理由擅自离开指定地点</w:t>
      </w:r>
      <w:r>
        <w:rPr>
          <w:rFonts w:hint="eastAsia" w:ascii="Times New Roman" w:hAnsi="Times New Roman" w:eastAsia="仿宋_GB2312" w:cs="Times New Roman"/>
          <w:sz w:val="32"/>
          <w:szCs w:val="32"/>
        </w:rPr>
        <w:t>的，由县级以上地方人民政府水行政主管部门责令停靠在指定地点，</w:t>
      </w:r>
      <w:r>
        <w:rPr>
          <w:rFonts w:hint="default" w:ascii="Times New Roman" w:hAnsi="Times New Roman" w:eastAsia="仿宋_GB2312" w:cs="Times New Roman"/>
          <w:sz w:val="32"/>
          <w:szCs w:val="32"/>
        </w:rPr>
        <w:t>处3万元以上10万元以下的罚款</w:t>
      </w:r>
      <w:r>
        <w:rPr>
          <w:rFonts w:hint="eastAsia" w:ascii="Times New Roman" w:hAnsi="Times New Roman" w:eastAsia="仿宋_GB2312" w:cs="Times New Roman"/>
          <w:sz w:val="32"/>
          <w:szCs w:val="32"/>
        </w:rPr>
        <w:t>；拒不改正的，予以强行转移</w:t>
      </w:r>
      <w:r>
        <w:rPr>
          <w:rFonts w:hint="eastAsia" w:ascii="仿宋_GB2312" w:hAnsi="仿宋_GB2312" w:eastAsia="仿宋_GB2312" w:cs="仿宋_GB2312"/>
          <w:sz w:val="32"/>
          <w:szCs w:val="32"/>
        </w:rPr>
        <w:t>至指定地点。</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方正黑体_GBK" w:hAnsi="方正黑体_GBK" w:eastAsia="方正黑体_GBK" w:cs="方正黑体_GBK"/>
          <w:sz w:val="32"/>
          <w:szCs w:val="32"/>
        </w:rPr>
        <w:t>第二十二</w:t>
      </w:r>
      <w:r>
        <w:rPr>
          <w:rFonts w:hint="eastAsia" w:ascii="黑体" w:hAnsi="黑体" w:eastAsia="黑体" w:cs="黑体"/>
          <w:sz w:val="32"/>
          <w:szCs w:val="32"/>
        </w:rPr>
        <w:t>条</w:t>
      </w:r>
      <w:r>
        <w:rPr>
          <w:rFonts w:hint="eastAsia" w:ascii="仿宋_GB2312" w:hAnsi="仿宋_GB2312" w:eastAsia="仿宋_GB2312" w:cs="仿宋_GB2312"/>
          <w:sz w:val="32"/>
          <w:szCs w:val="32"/>
        </w:rPr>
        <w:t>　伪造、变造、转让、出租、出借河道采砂许可证，由县级以上地方人民政府水行政主管部门或者长江水利委员会依据职权予以吊销或者收缴，没收违法所得，并</w:t>
      </w:r>
      <w:r>
        <w:rPr>
          <w:rFonts w:hint="default" w:ascii="Times New Roman" w:hAnsi="Times New Roman" w:eastAsia="仿宋_GB2312" w:cs="Times New Roman"/>
          <w:sz w:val="32"/>
          <w:szCs w:val="32"/>
        </w:rPr>
        <w:t>处5万元以上50万元以下的罚款</w:t>
      </w:r>
      <w:r>
        <w:rPr>
          <w:rFonts w:hint="eastAsia" w:ascii="仿宋_GB2312" w:hAnsi="仿宋_GB2312" w:eastAsia="仿宋_GB2312" w:cs="仿宋_GB2312"/>
          <w:sz w:val="32"/>
          <w:szCs w:val="32"/>
        </w:rPr>
        <w:t>；构成犯罪的，依法追究刑事责任。</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第二十三条</w:t>
      </w:r>
      <w:r>
        <w:rPr>
          <w:rFonts w:hint="eastAsia" w:ascii="仿宋_GB2312" w:hAnsi="仿宋_GB2312" w:eastAsia="仿宋_GB2312" w:cs="仿宋_GB2312"/>
          <w:sz w:val="32"/>
          <w:szCs w:val="32"/>
        </w:rPr>
        <w:t>　在长江航道内非法采砂影响通航安全的，由长江航务管理局、长江海事机构依照《中华人民共和国内河交通安全管理条例》和《中华人民共和国航道管理条例》等规定给予处罚。</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第二十四条</w:t>
      </w:r>
      <w:r>
        <w:rPr>
          <w:rFonts w:hint="eastAsia" w:ascii="仿宋_GB2312" w:hAnsi="仿宋_GB2312" w:eastAsia="仿宋_GB2312" w:cs="仿宋_GB2312"/>
          <w:sz w:val="32"/>
          <w:szCs w:val="32"/>
        </w:rPr>
        <w:t>　依照本条例规定应当给予行政处罚，而有关水行政主管部门不给予行政处罚的，由上级人民政府水行政主管部门责令其作出行政处罚决定或者直接给予行政处罚；对负有责任的主管人员和其他直接责任人员依法给予处分。</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第二十五条</w:t>
      </w:r>
      <w:r>
        <w:rPr>
          <w:rFonts w:hint="eastAsia" w:ascii="仿宋_GB2312" w:hAnsi="仿宋_GB2312" w:eastAsia="仿宋_GB2312" w:cs="仿宋_GB2312"/>
          <w:sz w:val="32"/>
          <w:szCs w:val="32"/>
        </w:rPr>
        <w:t>　依照本条例实施罚款的行政处罚，应当依照有关法律、行政法规的规定，实行罚款决定与罚款收缴分离，所收取的罚款必须全部上缴国库。</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黑体" w:hAnsi="黑体" w:eastAsia="黑体" w:cs="黑体"/>
          <w:kern w:val="2"/>
          <w:sz w:val="32"/>
          <w:szCs w:val="32"/>
          <w:lang w:val="en-US" w:eastAsia="zh-CN" w:bidi="ar-SA"/>
        </w:rPr>
        <w:t>第二十六条</w:t>
      </w:r>
      <w:r>
        <w:rPr>
          <w:rFonts w:hint="eastAsia" w:ascii="仿宋_GB2312" w:hAnsi="仿宋_GB2312" w:eastAsia="仿宋_GB2312" w:cs="仿宋_GB2312"/>
          <w:sz w:val="32"/>
          <w:szCs w:val="32"/>
        </w:rPr>
        <w:t>　有下列行为之一，对负有责任的主管人员和其他直接责任人员依法给予处分；构成犯罪的，依法追究刑事责任：</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一</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不执行已批准的长江采砂规划、擅自修改长江采砂规划或者违反长江采砂规划组织采砂的；</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二</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不按照规定审批发放河道采砂许可证或者其他批准文件的；</w:t>
      </w:r>
    </w:p>
    <w:p>
      <w:pPr>
        <w:pStyle w:val="2"/>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z w:val="32"/>
          <w:szCs w:val="32"/>
        </w:rPr>
      </w:pP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三</w:t>
      </w:r>
      <w:r>
        <w:rPr>
          <w:rFonts w:hint="eastAsia" w:ascii="仿宋_GB2312" w:hAnsi="仿宋_GB2312" w:cs="仿宋_GB2312"/>
          <w:sz w:val="32"/>
          <w:szCs w:val="32"/>
          <w:lang w:eastAsia="zh-CN"/>
        </w:rPr>
        <w:t>）</w:t>
      </w:r>
      <w:r>
        <w:rPr>
          <w:rFonts w:hint="eastAsia" w:ascii="仿宋_GB2312" w:hAnsi="仿宋_GB2312" w:eastAsia="仿宋_GB2312" w:cs="仿宋_GB2312"/>
          <w:sz w:val="32"/>
          <w:szCs w:val="32"/>
        </w:rPr>
        <w:t>不履行本条例规定的监督检查职责，造成长江采砂秩序混乱或者造成重大责任事故的。</w:t>
      </w:r>
    </w:p>
    <w:p>
      <w:pPr>
        <w:keepNext w:val="0"/>
        <w:keepLines w:val="0"/>
        <w:pageBreakBefore w:val="0"/>
        <w:kinsoku/>
        <w:wordWrap/>
        <w:overflowPunct/>
        <w:topLinePunct w:val="0"/>
        <w:autoSpaceDE/>
        <w:autoSpaceDN/>
        <w:bidi w:val="0"/>
        <w:adjustRightInd/>
        <w:snapToGrid/>
        <w:spacing w:line="240" w:lineRule="auto"/>
        <w:ind w:firstLine="632" w:firstLineChars="200"/>
        <w:textAlignment w:val="auto"/>
        <w:rPr>
          <w:rFonts w:hint="eastAsia" w:ascii="楷体_GB2312" w:hAnsi="楷体_GB2312" w:eastAsia="楷体_GB2312" w:cs="楷体_GB2312"/>
          <w:bCs/>
          <w:spacing w:val="6"/>
          <w:kern w:val="2"/>
          <w:sz w:val="32"/>
          <w:szCs w:val="32"/>
          <w:shd w:val="clear" w:color="auto" w:fill="FFFFFF"/>
          <w:lang w:val="en-US" w:eastAsia="zh-CN" w:bidi="ar-SA"/>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本条例自</w:t>
      </w:r>
      <w:r>
        <w:rPr>
          <w:rFonts w:hint="default" w:ascii="Times New Roman" w:hAnsi="Times New Roman" w:eastAsia="仿宋_GB2312" w:cs="Times New Roman"/>
          <w:sz w:val="32"/>
          <w:szCs w:val="32"/>
        </w:rPr>
        <w:t>2002年1月1</w:t>
      </w:r>
      <w:r>
        <w:rPr>
          <w:rFonts w:hint="eastAsia" w:ascii="仿宋_GB2312" w:hAnsi="仿宋_GB2312" w:eastAsia="仿宋_GB2312" w:cs="仿宋_GB2312"/>
          <w:sz w:val="32"/>
          <w:szCs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modern"/>
    <w:pitch w:val="default"/>
    <w:sig w:usb0="00000000" w:usb1="00000000" w:usb2="00000000" w:usb3="00000000" w:csb0="00040000" w:csb1="00000000"/>
  </w:font>
  <w:font w:name="方正黑体_GBK">
    <w:altName w:val="微软雅黑"/>
    <w:panose1 w:val="03000509000000000000"/>
    <w:charset w:val="86"/>
    <w:family w:val="script"/>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ODM0YzQzMGFjMjUzMGYwODMwZjhmZTEzMTA0N2U0NTc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597"/>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33B66F2"/>
    <w:rsid w:val="05A5708C"/>
    <w:rsid w:val="09A34AE0"/>
    <w:rsid w:val="0C00483C"/>
    <w:rsid w:val="0D9804AC"/>
    <w:rsid w:val="208F6602"/>
    <w:rsid w:val="24F5659E"/>
    <w:rsid w:val="251610A0"/>
    <w:rsid w:val="26705BD1"/>
    <w:rsid w:val="298A635B"/>
    <w:rsid w:val="37702892"/>
    <w:rsid w:val="3C460065"/>
    <w:rsid w:val="3DE63740"/>
    <w:rsid w:val="40400BE3"/>
    <w:rsid w:val="479733DA"/>
    <w:rsid w:val="481351D2"/>
    <w:rsid w:val="49276C84"/>
    <w:rsid w:val="4AB1034C"/>
    <w:rsid w:val="53543565"/>
    <w:rsid w:val="558A062C"/>
    <w:rsid w:val="571F769E"/>
    <w:rsid w:val="59394451"/>
    <w:rsid w:val="622F12CF"/>
    <w:rsid w:val="6311467A"/>
    <w:rsid w:val="6A2E56A6"/>
    <w:rsid w:val="6D384E6C"/>
    <w:rsid w:val="775E649E"/>
    <w:rsid w:val="7ACC202C"/>
    <w:rsid w:val="7BB07870"/>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Plain Text"/>
    <w:basedOn w:val="1"/>
    <w:unhideWhenUsed/>
    <w:qFormat/>
    <w:uiPriority w:val="99"/>
    <w:rPr>
      <w:rFonts w:ascii="宋体" w:hAnsi="Courier New" w:cs="Courier New"/>
      <w:szCs w:val="21"/>
    </w:r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styleId="7">
    <w:name w:val="FollowedHyperlink"/>
    <w:unhideWhenUsed/>
    <w:qFormat/>
    <w:uiPriority w:val="99"/>
    <w:rPr>
      <w:color w:val="954F72"/>
      <w:u w:val="single"/>
    </w:rPr>
  </w:style>
  <w:style w:type="character" w:styleId="8">
    <w:name w:val="Hyperlink"/>
    <w:qFormat/>
    <w:uiPriority w:val="99"/>
    <w:rPr>
      <w:rFonts w:hint="default" w:ascii="ˎ̥" w:hAnsi="ˎ̥"/>
      <w:color w:val="0404B3"/>
      <w:sz w:val="18"/>
      <w:szCs w:val="18"/>
      <w:u w:val="none"/>
    </w:rPr>
  </w:style>
  <w:style w:type="character" w:customStyle="1" w:styleId="9">
    <w:name w:val="页脚 字符"/>
    <w:link w:val="3"/>
    <w:qFormat/>
    <w:uiPriority w:val="99"/>
    <w:rPr>
      <w:sz w:val="18"/>
      <w:szCs w:val="18"/>
    </w:rPr>
  </w:style>
  <w:style w:type="character" w:customStyle="1" w:styleId="10">
    <w:name w:val="页眉 字符"/>
    <w:link w:val="4"/>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3758</Words>
  <Characters>3792</Characters>
  <Lines>1</Lines>
  <Paragraphs>1</Paragraphs>
  <TotalTime>7</TotalTime>
  <ScaleCrop>false</ScaleCrop>
  <LinksUpToDate>false</LinksUpToDate>
  <CharactersWithSpaces>3820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2023-09-07T10:45:23Z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