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Claire, ingénieure agronome de formation, doctorat en écologie appliquée, travaille au sein d’un laboratoire commun entre INRAE et l’Université de Montpellier situé sur le campus de Baillarguet. Impliquée dans le projet AgroResilience depuis 2022. Recrutée comme chargée de recherche sur le volet analyse des systèmes agricoles afin d’évaluer les stratégies de réduction des intrants chimiques à l’échelle territoriale.</w:t>
      </w:r>
    </w:p>
    <w:p>
      <w:pPr>
        <w:pStyle w:val="BodyText"/>
      </w:pPr>
      <w:r>
        <w:t xml:space="preserve">Julien…</w:t>
      </w:r>
    </w:p>
    <w:p>
      <w:pPr>
        <w:pStyle w:val="BodyText"/>
      </w:pPr>
      <w:r>
        <w:t xml:space="preserve">Interviewé : 5 ans chez AgroNova, responsable expérimentation terrain sur les cultures maraîchères (tomate, courgette, poivron), puis coordinateur technique chez Floralis. Travaille avec des coopératives agricoles dans le sud de la France et en Espagne. Assure le suivi des itinéraires techniques et la traçabilité des interventions culturales depuis les semis jusqu’à la commercialisation des produits. Très forte diversité d’exploitations partenaires. Responsable d’une équipe de trois techniciens.</w:t>
      </w:r>
    </w:p>
    <w:p>
      <w:pPr>
        <w:pStyle w:val="BodyText"/>
      </w:pPr>
      <w:r>
        <w:t xml:space="preserve">En Andalousie, peu de problèmes sanitaires majeurs ces dernières années, mais forte pression hydrique. Cultures sous serre principalement. Certification GlobalG.A.P.</w:t>
      </w:r>
    </w:p>
    <w:p>
      <w:pPr>
        <w:pStyle w:val="BodyText"/>
      </w:pPr>
      <w:r>
        <w:t xml:space="preserve">À Perpignan, station expérimentale sur deux hectares consacrée aux essais de biocontrôle (aleurodes, thrips). Une partie de la production est valorisée auprès d’un réseau local de distributeurs spécialisés dans l’agriculture biologique.</w:t>
      </w:r>
    </w:p>
    <w:p>
      <w:pPr>
        <w:pStyle w:val="BodyText"/>
      </w:pPr>
      <w:r>
        <w:t xml:space="preserve">Collaboration avec le domaine de Valmy et plusieurs exploitations du Roussillon. Certains producteurs sont certifiés AB, d’autres sont en conversion.</w:t>
      </w:r>
    </w:p>
    <w:p>
      <w:pPr>
        <w:pStyle w:val="BodyText"/>
      </w:pPr>
      <w:r>
        <w:t xml:space="preserve">Quel est le rôle de votre organisation dans la gestion des ravageurs ?</w:t>
      </w:r>
    </w:p>
    <w:p>
      <w:pPr>
        <w:pStyle w:val="BodyText"/>
      </w:pPr>
      <w:r>
        <w:t xml:space="preserve">L’objectif principal est de promouvoir des pratiques agricoles durables. Nous privilégions les solutions de biocontrôle et les méthodes préventives. Nous accompagnons les agriculteurs dans la réduction de l’usage des pesticides de synthèse. Cela passe par la formation, le suivi technique et l’évaluation des résultats. Nous réalisons également des diagnostics environnementaux et des bilans carbone sur plusieurs sites de production. À tous les niveaux, nous cherchons à limiter notre impact, que ce soit sur la consommation d’eau, l’utilisation d’engrais ou les émissions liées aux transports.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2026-06-25T12:48:20Z</dcterms:created>
  <dcterms:modified xsi:type="dcterms:W3CDTF">2026-06-25T12:48:20Z</dcterms:modified>
</cp:coreProperties>
</file>

<file path=docProps/custom.xml><?xml version="1.0" encoding="utf-8"?>
<Properties xmlns="http://schemas.openxmlformats.org/officeDocument/2006/custom-properties" xmlns:vt="http://schemas.openxmlformats.org/officeDocument/2006/docPropsVTypes"/>
</file>