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« Pouvez-vous vous présenter rapidement ? »</w:t>
      </w:r>
    </w:p>
    <w:p>
      <w:pPr>
        <w:pStyle w:val="BodyText"/>
      </w:pPr>
      <w:r>
        <w:t xml:space="preserve">« Sophie Martin, je suis ingénieure agronome. Je travaille depuis huit ans à la Chambre d’agriculture de l’Hérault comme conseillère technique en maraîchage biologique. »</w:t>
      </w:r>
    </w:p>
    <w:p>
      <w:pPr>
        <w:pStyle w:val="BodyText"/>
      </w:pPr>
      <w:r>
        <w:t xml:space="preserve">« Quel est votre rôle concernant la gestion des ravageurs ? »</w:t>
      </w:r>
    </w:p>
    <w:p>
      <w:pPr>
        <w:pStyle w:val="BodyText"/>
      </w:pPr>
      <w:r>
        <w:t xml:space="preserve">« J’accompagne les producteurs dans la mise en place de stratégies alternatives aux pesticides. On travaille beaucoup sur la prévention, les rotations culturales et le recours aux auxiliaires. »</w:t>
      </w:r>
    </w:p>
    <w:p>
      <w:pPr>
        <w:pStyle w:val="BodyText"/>
      </w:pPr>
      <w:r>
        <w:t xml:space="preserve">« Quels sont aujourd’hui les principaux problèmes rencontrés ? »</w:t>
      </w:r>
    </w:p>
    <w:p>
      <w:pPr>
        <w:pStyle w:val="BodyText"/>
      </w:pPr>
      <w:r>
        <w:t xml:space="preserve">« Depuis quelques années, nous observons une augmentation des attaques d’aleurodes et de pucerons. Certaines solutions fonctionnent bien dans les stations expérimentales mais sont plus difficiles à mettre en œuvre chez les agriculteurs. »</w:t>
      </w:r>
    </w:p>
    <w:p>
      <w:pPr>
        <w:pStyle w:val="BodyText"/>
      </w:pPr>
      <w:r>
        <w:t xml:space="preserve">« Pourquoi ? »</w:t>
      </w:r>
    </w:p>
    <w:p>
      <w:pPr>
        <w:pStyle w:val="BodyText"/>
      </w:pPr>
      <w:r>
        <w:t xml:space="preserve">« Principalement pour des raisons économiques ou organisationnelles. Certaines techniques demandent davantage de temps de travail ou un suivi plus précis. »</w:t>
      </w:r>
    </w:p>
    <w:p>
      <w:pPr>
        <w:pStyle w:val="BodyText"/>
      </w:pPr>
      <w:r>
        <w:t xml:space="preserve">« Travaillez-vous avec des partenaires ? »</w:t>
      </w:r>
    </w:p>
    <w:p>
      <w:pPr>
        <w:pStyle w:val="BodyText"/>
      </w:pPr>
      <w:r>
        <w:t xml:space="preserve">« Oui, nous collaborons régulièrement avec l’INRAE de Montpellier, le réseau DEPHY et plusieurs coopératives régionales. Nous participons également à un projet européen sur les systèmes agricoles résilients. »</w:t>
      </w:r>
    </w:p>
    <w:p>
      <w:pPr>
        <w:pStyle w:val="BodyText"/>
      </w:pPr>
      <w:r>
        <w:t xml:space="preserve">« Selon vous, quels sont les besoins les plus importants aujourd’hui ? »</w:t>
      </w:r>
    </w:p>
    <w:p>
      <w:pPr>
        <w:pStyle w:val="BodyText"/>
      </w:pPr>
      <w:r>
        <w:t xml:space="preserve">« Mieux comprendre les interactions entre les ravageurs, le climat et les pratiques agricoles. Les producteurs ont besoin de solutions efficaces mais aussi simples à intégrer dans leur quotidien. »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2026-06-25T12:48:20Z</dcterms:created>
  <dcterms:modified xsi:type="dcterms:W3CDTF">2026-06-25T12:48:20Z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