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report fixture</w:t>
      </w:r>
    </w:p>
    <w:p>
      <w:r>
        <w:t>TEST DATA ONLY. No patient data. Name: Synthetic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</w:tr>
      <w:tr>
        <w:tc>
          <w:tcPr>
            <w:tcW w:type="dxa" w:w="2160"/>
          </w:tcPr>
          <w:p>
            <w:r>
              <w:t>Glucose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3.9-6.1</w:t>
            </w:r>
          </w:p>
        </w:tc>
      </w:tr>
      <w:tr>
        <w:tc>
          <w:tcPr>
            <w:tcW w:type="dxa" w:w="2160"/>
          </w:tcPr>
          <w:p>
            <w:r>
              <w:t>Hemoglobin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115-150</w:t>
            </w:r>
          </w:p>
        </w:tc>
      </w:tr>
      <w:tr>
        <w:tc>
          <w:tcPr>
            <w:tcW w:type="dxa" w:w="2160"/>
          </w:tcPr>
          <w:p>
            <w:r>
              <w:t>Protein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negative</w:t>
            </w:r>
          </w:p>
        </w:tc>
      </w:tr>
    </w:tbl>
    <w:p>
      <w:r>
        <w:t>All entries are fabricated for automated software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