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75E6" w:rsidRPr="002875E6" w:rsidRDefault="002875E6" w:rsidP="002875E6">
      <w:pPr>
        <w:widowControl/>
        <w:shd w:val="clear" w:color="auto" w:fill="FFFFFF"/>
        <w:spacing w:after="375" w:line="240" w:lineRule="auto"/>
        <w:ind w:firstLineChars="0" w:firstLine="420"/>
        <w:rPr>
          <w:rFonts w:ascii="微软雅黑" w:eastAsia="微软雅黑" w:hAnsi="微软雅黑" w:cs="宋体"/>
          <w:color w:val="8E8E8E"/>
          <w:kern w:val="0"/>
          <w:sz w:val="21"/>
          <w:szCs w:val="21"/>
        </w:rPr>
      </w:pPr>
      <w:r w:rsidRPr="002875E6">
        <w:rPr>
          <w:rFonts w:ascii="微软雅黑" w:eastAsia="微软雅黑" w:hAnsi="微软雅黑" w:cs="宋体" w:hint="eastAsia"/>
          <w:color w:val="8E8E8E"/>
          <w:kern w:val="0"/>
          <w:sz w:val="21"/>
          <w:szCs w:val="21"/>
        </w:rPr>
        <w:t>各相关单位：</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为深入贯彻落实《上海市公共数据开放暂行办法》（沪府令21号）文件精神，加快推进青浦区公共数据开放工作，有效促进开放数据共享应用，助力城市数字化转型，现就落实《上海市公共数据开放分级分类指南（试行）》相关要求的有关事项通知如下：</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一、工作目标</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按照《上海市公共数据开放分级分类指南（试行）》相关要求，对我区公共数据开展分级分类，梳理汇总形成青浦区公共数据开放清单，在上海市公共数据开放平台进行统一开放。围绕重点开放领域打造一批经济价值较高、社会价值显著的政企数据融合示范应用项目，释放公共数据价值，助力城市数字化转型，服务“一网通办”、“一网统管”等重大项目和上海“五个中心”建设。</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二、工作责任</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区政务办：统筹规划、协调推进、指导监督本区公共数据开放工作，指导全区各单位开展公共数据开放清单编制以及相关开放数据的归集、整合、开放、应用。</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区科委：推动社会主体对开放数据的创新应用和价值挖掘，引导我区数字产业发展。</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各职能部门：负责本单位数据开放清单的编制和维护；按照市级相关责任部门的规范要求，实施公共数据采集工作，并确保数据采集的准确性、完整性、时效性；负责将本单位在履职过程中产生的公共数据向区大数据资源平台归集，实现公共数据资源的集中存储，并承担相</w:t>
      </w:r>
      <w:r w:rsidRPr="002875E6">
        <w:rPr>
          <w:rFonts w:ascii="微软雅黑" w:eastAsia="微软雅黑" w:hAnsi="微软雅黑" w:cs="宋体" w:hint="eastAsia"/>
          <w:color w:val="8E8E8E"/>
          <w:kern w:val="0"/>
          <w:sz w:val="21"/>
          <w:szCs w:val="21"/>
        </w:rPr>
        <w:lastRenderedPageBreak/>
        <w:t>应公共数据质量责任，确保数据适时、真实、准确、完整；依据相关规定，按需共享本单位公共数据。</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三、主要任务</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（一）落实完善分级分类开放</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1.全面梳理数据家底，形成开放清单。各单位进一步梳理可开放数据，除相关法规、文件明确要求不予开放的，应100%列入开放清单。围绕普惠金融、交通出行、医疗健康等领域，编制形成本单位公共数据开放清单，并每季度定期报送至区政务办。（牵头单位：区政务办；配合单位：各相关单位）</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2.完善开放数据与信息化项目预算审核挂钩制度。在信息化建设中加强规划和落实公共数据开放，对存在无合理理由不开放数据、数据服务能力与规划不符等情况的项目，将不予支持。（牵头单位：区科委）</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3.全面落实有条件开放机制。推进分级分类、申请受理、申请评估、跟踪反馈等工作，对于有条件开放的数据请求，原则上各单位配合区政务办在5个工作日内通过全市统一平台“上海市公共数据开放平台（https://data.sh.gov.cn）”完成受理和答复，成功受理率应达100%。（牵头单位：区政务办；配合单位：各相关单位）</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（二）深化公共数据开放应用。</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1.组织重点领域公共数据开放应用建设。区政务办依托上海市公共数据开放平台（https://data.sh.gov.cn），根据自身业务重点和区域特色，结合年度开放重点，强化开</w:t>
      </w:r>
      <w:r w:rsidRPr="002875E6">
        <w:rPr>
          <w:rFonts w:ascii="微软雅黑" w:eastAsia="微软雅黑" w:hAnsi="微软雅黑" w:cs="宋体" w:hint="eastAsia"/>
          <w:color w:val="8E8E8E"/>
          <w:kern w:val="0"/>
          <w:sz w:val="21"/>
          <w:szCs w:val="21"/>
        </w:rPr>
        <w:lastRenderedPageBreak/>
        <w:t>放数据需求对接，在保障公共利益和个人隐私前提下，按需向社会各方进行数据开放，进行深度挖掘分析和增值利用，助力数字产业发展。（牵头单位：区政务办；配合单位：各相关单位）</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2.加强数据治理，提升数据质量。根据用户反馈情况，对已开放数据开展巡查，针对数据名称、文件格式、接口服务、字段描述、隐私保护等内容开展治理优化。（牵头单位：区政务办；配合单位：各相关单位）</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3.开展公共数据开放应用试点项目征集。针对防疫复工、医疗健康、智联交通、智慧文旅等重点方向，征集一批落地性好、社会效益和经济效益显著的试点应用项目，形成一批示范案例。（牵头单位：区科委；配合单位：各相关单位）</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（三）加强数据安全和隐私保护</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1.完善公共数据开放安全管理制度。对网络攻击、数据泄露、隐私泄露、相关舆情等风险加强监测预警和行为追溯。对公共数据开放安全管理情况开展巡查。（牵头单位：区委网信办；配合部门：区科委、区政务办）</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2.加强违规行为监测。对平台行为、数据利用报告、数据调用日志等加强监测，对非授权使用、数据泄露、隐私挖掘等违法违规行为开展行为追溯和依法惩治。（牵头单位：区委网信办；配合部门：区政务办、区科委）</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lastRenderedPageBreak/>
        <w:t>3.加强保护个人隐私和商业秘密。加强开放前脱敏脱密处理，配合市级部门定期开展敏感字段平台核查，及时处理收到的相关投诉举报。（牵头单位：区政务办；配合单位：各相关单位）</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附件：《上海市公共数据开放分类分级指南（试行）》</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p>
    <w:p w:rsidR="002875E6" w:rsidRPr="002875E6" w:rsidRDefault="002875E6" w:rsidP="002875E6">
      <w:pPr>
        <w:widowControl/>
        <w:shd w:val="clear" w:color="auto" w:fill="FFFFFF"/>
        <w:spacing w:after="375" w:line="240" w:lineRule="auto"/>
        <w:ind w:firstLineChars="0" w:firstLine="0"/>
        <w:jc w:val="right"/>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青浦区政务服务办公室</w:t>
      </w:r>
    </w:p>
    <w:p w:rsidR="002875E6" w:rsidRPr="002875E6" w:rsidRDefault="002875E6" w:rsidP="002875E6">
      <w:pPr>
        <w:widowControl/>
        <w:shd w:val="clear" w:color="auto" w:fill="FFFFFF"/>
        <w:spacing w:after="375" w:line="240" w:lineRule="auto"/>
        <w:ind w:firstLineChars="0" w:firstLine="0"/>
        <w:jc w:val="right"/>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2021年2月10日</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附件：上海市公共数据开放分级分类指南（试行）</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1.引言</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根据《上海市公共数据和一网通办管理办法》（沪府令9号）和《上海市公共数据开放暂行办法》（沪府令21号）相关要求，对公共数据实施分级分类开放。</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本指南规定了公共数据开放的分级分类流程、要点、方法、示例等内容，本市公共数据开放主体根据本指南对公共数据进行分级分类，并采取相应风险防控和安全保障措施，全面保障本市公共数据开放工作有力有序开展。</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lastRenderedPageBreak/>
        <w:t>2.范围</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本指南适用于本市各级行政机关以及履行公共管理和服务职能的事业单位（以下统称公共管理和服务机构）在依法履职过程中，采集和产生的各类数据资源面向社会开放的分级分类。上海市水务、电力、燃气、通信、公共交通、民航、铁路等公用事业运营单位涉及公共属性数据开放，可参考本指南进行分级分类。</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本指南提供通用、共性参考原则和方法，各数据开放主体根据本行业、本区域的法律法规和相关规定，对本指南进行调整、补充，并制定本机构公共数据开放分级分类细则。</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涉及国家秘密的公共数据管理，按照相关保密法律、法规的规定执行，不纳入公共数据开放范围。</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3.规范性引用文件</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《上海市公共数据和一网通办管理办法》（沪府令9号）</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《上海市公共数据开放暂行办法》（沪府令21号）</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GB/T 25069信息安全技术术语</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GB/T 35273个人信息安全规范</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4.术语和定义</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4.1公共数据开放分级</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lastRenderedPageBreak/>
        <w:t>公共数据开放分级是指在公共数据开放过程中，从公共数据安全要求、个人信息保护要求和应用要求等因素，将公共数据分为不同级别的管理方式。</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4.2公共数据开放分类</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公共数据开放分类是指在公共数据开放过程中，将公共数据分为无条件开放、有条件开放、非开放三种开放类别的管理方式。</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4.3个人敏感信息</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一旦遭到泄露或修改，会对标识的个人信息主体造成不良影响的个人信息。各行业个人敏感信息的具体内容根据接受服务的个人信息主体意愿和各自业务特点确定。例如个人敏感信息可以包括身份证号码、手机号码、种族、政治观点、宗教信仰，以及基因、照片、指纹等生物特征数据。</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5.分级分类原则</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5.1兼容性</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分级分类应遵循国家、地方、部门法律法规、相关规定的要求。</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5.2安全性</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分级分类应以公共数据安全可控开放为基础。</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5.3科学性</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lastRenderedPageBreak/>
        <w:t>分级分类应符合公共数据的多维特征及其相互间客观存在的逻辑关联。</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5.4需求导向</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分级分类应充分考虑社会公众对开放数据的实际需求。</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5.5可操作性</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分级分类应具有可操作性，能够快速有效地制定妥善的开放方式。</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5.6可扩展性</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分级分类应充分考虑国际国内发展趋势，定期征询相关专家咨询组织，完善和调整分级分类规则。</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6.公共数据开放类别</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公共数据分为以下三种开放类别：</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37"/>
        <w:gridCol w:w="1781"/>
        <w:gridCol w:w="5572"/>
      </w:tblGrid>
      <w:tr w:rsidR="002875E6" w:rsidRPr="002875E6" w:rsidTr="002875E6">
        <w:tc>
          <w:tcPr>
            <w:tcW w:w="96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序号</w:t>
            </w:r>
          </w:p>
        </w:tc>
        <w:tc>
          <w:tcPr>
            <w:tcW w:w="1845"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开放类别</w:t>
            </w:r>
          </w:p>
        </w:tc>
        <w:tc>
          <w:tcPr>
            <w:tcW w:w="5805"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说明</w:t>
            </w:r>
          </w:p>
        </w:tc>
      </w:tr>
      <w:tr w:rsidR="002875E6" w:rsidRPr="002875E6" w:rsidTr="002875E6">
        <w:tc>
          <w:tcPr>
            <w:tcW w:w="9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1</w:t>
            </w:r>
          </w:p>
        </w:tc>
        <w:tc>
          <w:tcPr>
            <w:tcW w:w="184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非开放</w:t>
            </w:r>
          </w:p>
        </w:tc>
        <w:tc>
          <w:tcPr>
            <w:tcW w:w="580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涉及商业秘密、个人隐私，或者法律、法规规定不得开放的公共数据</w:t>
            </w:r>
          </w:p>
        </w:tc>
      </w:tr>
      <w:tr w:rsidR="002875E6" w:rsidRPr="002875E6" w:rsidTr="002875E6">
        <w:tc>
          <w:tcPr>
            <w:tcW w:w="9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2</w:t>
            </w:r>
          </w:p>
        </w:tc>
        <w:tc>
          <w:tcPr>
            <w:tcW w:w="184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有条件开放</w:t>
            </w:r>
          </w:p>
        </w:tc>
        <w:tc>
          <w:tcPr>
            <w:tcW w:w="580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对数据安全和处理能力要求较高、时效性较强或者需要持续获取的公共数据</w:t>
            </w:r>
          </w:p>
        </w:tc>
      </w:tr>
      <w:tr w:rsidR="002875E6" w:rsidRPr="002875E6" w:rsidTr="002875E6">
        <w:tc>
          <w:tcPr>
            <w:tcW w:w="9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3</w:t>
            </w:r>
          </w:p>
        </w:tc>
        <w:tc>
          <w:tcPr>
            <w:tcW w:w="184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无条件开放</w:t>
            </w:r>
          </w:p>
        </w:tc>
        <w:tc>
          <w:tcPr>
            <w:tcW w:w="580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除上述非开放和有条件开放以外的其他公共数据</w:t>
            </w:r>
          </w:p>
        </w:tc>
      </w:tr>
    </w:tbl>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表1：公共数据开放类别</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lastRenderedPageBreak/>
        <w:t>6.1无条件开放类</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对列入无条件开放类的公共数据，数据开放主体应当通过开放平台主动向社会开放。自然人、法人和其他组织无需申请即可获取、使用或者传播该类数据。</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6.2有条件开放类</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对列入有条件开放类的公共数据，数据开放主体应当通过平台公示开放条件，自然人、法人和其他组织通过开放平台向数据开放主体提交数据开放申请，并说明申请用途、应用场景和安全保障措施等信息，符合条件的，可以获取公共数据。</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6.3非开放类</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对列入非开放类的公共数据，暂时不纳入开放范围。经脱敏、匿名等处理后符合开放要求的，可将处理后的数据纳入无条件开放或有条件开放类。</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7.分级分类规则</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公共数据的开放级别按照公共数据描述的对象，从三个维度分别展开：个人、组织、客体。个人指自然人；组织指本市政府部门、企事业单位以及其他法人、非法人组织和团体；客体指本市非个人或组织的客观实体，如道路、建筑等。</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7.1个人维度</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表2：个人维度开放级别</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lastRenderedPageBreak/>
        <w:t>注：数据提供主体可以根据社会需求，对非开放类数据进行匿名、脱敏等处理，降级后按对应类别开放。</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7.2组织维度</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03"/>
        <w:gridCol w:w="1836"/>
        <w:gridCol w:w="4368"/>
        <w:gridCol w:w="1183"/>
      </w:tblGrid>
      <w:tr w:rsidR="002875E6" w:rsidRPr="002875E6" w:rsidTr="002875E6">
        <w:tc>
          <w:tcPr>
            <w:tcW w:w="96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开放</w:t>
            </w:r>
          </w:p>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级别</w:t>
            </w:r>
          </w:p>
        </w:tc>
        <w:tc>
          <w:tcPr>
            <w:tcW w:w="198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数据特征</w:t>
            </w:r>
          </w:p>
        </w:tc>
        <w:tc>
          <w:tcPr>
            <w:tcW w:w="483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数据示例</w:t>
            </w:r>
          </w:p>
        </w:tc>
        <w:tc>
          <w:tcPr>
            <w:tcW w:w="1275"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开放</w:t>
            </w:r>
          </w:p>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类型</w:t>
            </w:r>
          </w:p>
        </w:tc>
      </w:tr>
      <w:tr w:rsidR="002875E6" w:rsidRPr="002875E6" w:rsidTr="002875E6">
        <w:tc>
          <w:tcPr>
            <w:tcW w:w="9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B0</w:t>
            </w:r>
          </w:p>
        </w:tc>
        <w:tc>
          <w:tcPr>
            <w:tcW w:w="198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可从公开途径获取或者法律法规授权公开的数据</w:t>
            </w:r>
          </w:p>
        </w:tc>
        <w:tc>
          <w:tcPr>
            <w:tcW w:w="48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1.组织发布在网站、宣传册中或任何其他公开来源的数据；</w:t>
            </w:r>
            <w:r w:rsidRPr="002875E6">
              <w:rPr>
                <w:rFonts w:ascii="仿宋_GB2312" w:eastAsia="仿宋_GB2312" w:hAnsi="微软雅黑" w:cs="宋体" w:hint="eastAsia"/>
                <w:color w:val="8E8E8E"/>
                <w:kern w:val="0"/>
                <w:szCs w:val="24"/>
              </w:rPr>
              <w:br/>
            </w:r>
            <w:r w:rsidRPr="002875E6">
              <w:rPr>
                <w:rFonts w:ascii="仿宋_GB2312" w:eastAsia="仿宋_GB2312" w:hAnsi="微软雅黑" w:cs="宋体" w:hint="eastAsia"/>
                <w:color w:val="8E8E8E"/>
                <w:kern w:val="0"/>
                <w:szCs w:val="24"/>
              </w:rPr>
              <w:t> </w:t>
            </w:r>
            <w:r w:rsidRPr="002875E6">
              <w:rPr>
                <w:rFonts w:ascii="仿宋_GB2312" w:eastAsia="仿宋_GB2312" w:hAnsi="微软雅黑" w:cs="宋体" w:hint="eastAsia"/>
                <w:color w:val="8E8E8E"/>
                <w:kern w:val="0"/>
                <w:szCs w:val="24"/>
              </w:rPr>
              <w:t xml:space="preserve"> 2.组织涉及行政、司法行为、公共事项必须披露的数据；</w:t>
            </w:r>
            <w:r w:rsidRPr="002875E6">
              <w:rPr>
                <w:rFonts w:ascii="仿宋_GB2312" w:eastAsia="仿宋_GB2312" w:hAnsi="微软雅黑" w:cs="宋体" w:hint="eastAsia"/>
                <w:color w:val="8E8E8E"/>
                <w:kern w:val="0"/>
                <w:szCs w:val="24"/>
              </w:rPr>
              <w:br/>
            </w:r>
            <w:r w:rsidRPr="002875E6">
              <w:rPr>
                <w:rFonts w:ascii="仿宋_GB2312" w:eastAsia="仿宋_GB2312" w:hAnsi="微软雅黑" w:cs="宋体" w:hint="eastAsia"/>
                <w:color w:val="8E8E8E"/>
                <w:kern w:val="0"/>
                <w:szCs w:val="24"/>
              </w:rPr>
              <w:t> </w:t>
            </w:r>
            <w:r w:rsidRPr="002875E6">
              <w:rPr>
                <w:rFonts w:ascii="仿宋_GB2312" w:eastAsia="仿宋_GB2312" w:hAnsi="微软雅黑" w:cs="宋体" w:hint="eastAsia"/>
                <w:color w:val="8E8E8E"/>
                <w:kern w:val="0"/>
                <w:szCs w:val="24"/>
              </w:rPr>
              <w:t xml:space="preserve"> 3.依据法律法规必须公开的数据，如“企业信息公示暂行条例”中明确应公开的内容；</w:t>
            </w:r>
          </w:p>
          <w:p w:rsidR="002875E6" w:rsidRPr="002875E6" w:rsidRDefault="002875E6" w:rsidP="002875E6">
            <w:pPr>
              <w:widowControl/>
              <w:spacing w:after="375" w:line="300" w:lineRule="atLeast"/>
              <w:ind w:firstLineChars="0" w:firstLine="0"/>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4.有条件开放类数据的脱敏脱密样本。</w:t>
            </w:r>
          </w:p>
        </w:tc>
        <w:tc>
          <w:tcPr>
            <w:tcW w:w="127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无条件</w:t>
            </w:r>
          </w:p>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开放</w:t>
            </w:r>
          </w:p>
        </w:tc>
      </w:tr>
      <w:tr w:rsidR="002875E6" w:rsidRPr="002875E6" w:rsidTr="002875E6">
        <w:trPr>
          <w:trHeight w:val="630"/>
        </w:trPr>
        <w:tc>
          <w:tcPr>
            <w:tcW w:w="9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B1</w:t>
            </w:r>
          </w:p>
        </w:tc>
        <w:tc>
          <w:tcPr>
            <w:tcW w:w="198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数据用于支撑组织运营管理和业务开展，或可反映出组织经营状况，在特定范围内</w:t>
            </w:r>
          </w:p>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对象知晓</w:t>
            </w:r>
          </w:p>
        </w:tc>
        <w:tc>
          <w:tcPr>
            <w:tcW w:w="48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1.组织规范日常管理和运营的制度、规范、手册、流程图、信息系统等；</w:t>
            </w:r>
            <w:r w:rsidRPr="002875E6">
              <w:rPr>
                <w:rFonts w:ascii="仿宋_GB2312" w:eastAsia="仿宋_GB2312" w:hAnsi="微软雅黑" w:cs="宋体" w:hint="eastAsia"/>
                <w:color w:val="8E8E8E"/>
                <w:kern w:val="0"/>
                <w:szCs w:val="24"/>
              </w:rPr>
              <w:br/>
            </w:r>
            <w:r w:rsidRPr="002875E6">
              <w:rPr>
                <w:rFonts w:ascii="仿宋_GB2312" w:eastAsia="仿宋_GB2312" w:hAnsi="微软雅黑" w:cs="宋体" w:hint="eastAsia"/>
                <w:color w:val="8E8E8E"/>
                <w:kern w:val="0"/>
                <w:szCs w:val="24"/>
              </w:rPr>
              <w:t> </w:t>
            </w:r>
            <w:r w:rsidRPr="002875E6">
              <w:rPr>
                <w:rFonts w:ascii="仿宋_GB2312" w:eastAsia="仿宋_GB2312" w:hAnsi="微软雅黑" w:cs="宋体" w:hint="eastAsia"/>
                <w:color w:val="8E8E8E"/>
                <w:kern w:val="0"/>
                <w:szCs w:val="24"/>
              </w:rPr>
              <w:t xml:space="preserve"> 2.组织水、电、气等资源消耗数据；</w:t>
            </w:r>
            <w:r w:rsidRPr="002875E6">
              <w:rPr>
                <w:rFonts w:ascii="仿宋_GB2312" w:eastAsia="仿宋_GB2312" w:hAnsi="微软雅黑" w:cs="宋体" w:hint="eastAsia"/>
                <w:color w:val="8E8E8E"/>
                <w:kern w:val="0"/>
                <w:szCs w:val="24"/>
              </w:rPr>
              <w:br/>
            </w:r>
            <w:r w:rsidRPr="002875E6">
              <w:rPr>
                <w:rFonts w:ascii="仿宋_GB2312" w:eastAsia="仿宋_GB2312" w:hAnsi="微软雅黑" w:cs="宋体" w:hint="eastAsia"/>
                <w:color w:val="8E8E8E"/>
                <w:kern w:val="0"/>
                <w:szCs w:val="24"/>
              </w:rPr>
              <w:t> </w:t>
            </w:r>
            <w:r w:rsidRPr="002875E6">
              <w:rPr>
                <w:rFonts w:ascii="仿宋_GB2312" w:eastAsia="仿宋_GB2312" w:hAnsi="微软雅黑" w:cs="宋体" w:hint="eastAsia"/>
                <w:color w:val="8E8E8E"/>
                <w:kern w:val="0"/>
                <w:szCs w:val="24"/>
              </w:rPr>
              <w:t xml:space="preserve"> 3.组织缴纳税务、社保、公积金等数据；</w:t>
            </w:r>
            <w:r w:rsidRPr="002875E6">
              <w:rPr>
                <w:rFonts w:ascii="仿宋_GB2312" w:eastAsia="仿宋_GB2312" w:hAnsi="微软雅黑" w:cs="宋体" w:hint="eastAsia"/>
                <w:color w:val="8E8E8E"/>
                <w:kern w:val="0"/>
                <w:szCs w:val="24"/>
              </w:rPr>
              <w:br/>
            </w:r>
            <w:r w:rsidRPr="002875E6">
              <w:rPr>
                <w:rFonts w:ascii="仿宋_GB2312" w:eastAsia="仿宋_GB2312" w:hAnsi="微软雅黑" w:cs="宋体" w:hint="eastAsia"/>
                <w:color w:val="8E8E8E"/>
                <w:kern w:val="0"/>
                <w:szCs w:val="24"/>
              </w:rPr>
              <w:t> </w:t>
            </w:r>
            <w:r w:rsidRPr="002875E6">
              <w:rPr>
                <w:rFonts w:ascii="仿宋_GB2312" w:eastAsia="仿宋_GB2312" w:hAnsi="微软雅黑" w:cs="宋体" w:hint="eastAsia"/>
                <w:color w:val="8E8E8E"/>
                <w:kern w:val="0"/>
                <w:szCs w:val="24"/>
              </w:rPr>
              <w:t xml:space="preserve"> 4.组织应披露但未到披露时间节点的各类信息，如财务报表等。</w:t>
            </w:r>
          </w:p>
        </w:tc>
        <w:tc>
          <w:tcPr>
            <w:tcW w:w="127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有条件</w:t>
            </w:r>
          </w:p>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开放</w:t>
            </w:r>
          </w:p>
        </w:tc>
      </w:tr>
      <w:tr w:rsidR="002875E6" w:rsidRPr="002875E6" w:rsidTr="002875E6">
        <w:trPr>
          <w:trHeight w:val="630"/>
        </w:trPr>
        <w:tc>
          <w:tcPr>
            <w:tcW w:w="9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B2</w:t>
            </w:r>
          </w:p>
        </w:tc>
        <w:tc>
          <w:tcPr>
            <w:tcW w:w="198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数据涉及到组织核心利益，数据的泄露会对组织造成财务、声誉、技术等方面的影响</w:t>
            </w:r>
          </w:p>
        </w:tc>
        <w:tc>
          <w:tcPr>
            <w:tcW w:w="48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1.技术信息：技术设计、技术样品、质量控制、应用试验、工艺流程、工业配方、化学配方、制作工艺、制作方法、计算机程序等；</w:t>
            </w:r>
            <w:r w:rsidRPr="002875E6">
              <w:rPr>
                <w:rFonts w:ascii="仿宋_GB2312" w:eastAsia="仿宋_GB2312" w:hAnsi="微软雅黑" w:cs="宋体" w:hint="eastAsia"/>
                <w:color w:val="8E8E8E"/>
                <w:kern w:val="0"/>
                <w:szCs w:val="24"/>
              </w:rPr>
              <w:br/>
            </w:r>
            <w:r w:rsidRPr="002875E6">
              <w:rPr>
                <w:rFonts w:ascii="仿宋_GB2312" w:eastAsia="仿宋_GB2312" w:hAnsi="微软雅黑" w:cs="宋体" w:hint="eastAsia"/>
                <w:color w:val="8E8E8E"/>
                <w:kern w:val="0"/>
                <w:szCs w:val="24"/>
              </w:rPr>
              <w:t> </w:t>
            </w:r>
            <w:r w:rsidRPr="002875E6">
              <w:rPr>
                <w:rFonts w:ascii="仿宋_GB2312" w:eastAsia="仿宋_GB2312" w:hAnsi="微软雅黑" w:cs="宋体" w:hint="eastAsia"/>
                <w:color w:val="8E8E8E"/>
                <w:kern w:val="0"/>
                <w:szCs w:val="24"/>
              </w:rPr>
              <w:t xml:space="preserve"> 2.经营信息：发展规划、竞争方案、管理诀窍、客户名单、货源、产销策略、财</w:t>
            </w:r>
            <w:r w:rsidRPr="002875E6">
              <w:rPr>
                <w:rFonts w:ascii="仿宋_GB2312" w:eastAsia="仿宋_GB2312" w:hAnsi="微软雅黑" w:cs="宋体" w:hint="eastAsia"/>
                <w:color w:val="8E8E8E"/>
                <w:kern w:val="0"/>
                <w:szCs w:val="24"/>
              </w:rPr>
              <w:lastRenderedPageBreak/>
              <w:t>务状况、投融资计划、标书标底、谈判方案等。</w:t>
            </w:r>
          </w:p>
        </w:tc>
        <w:tc>
          <w:tcPr>
            <w:tcW w:w="127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lastRenderedPageBreak/>
              <w:t>非开放</w:t>
            </w:r>
          </w:p>
        </w:tc>
      </w:tr>
    </w:tbl>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表3：组织维度开放级别</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7.3客体维度</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04"/>
        <w:gridCol w:w="2720"/>
        <w:gridCol w:w="3481"/>
        <w:gridCol w:w="1185"/>
      </w:tblGrid>
      <w:tr w:rsidR="002875E6" w:rsidRPr="002875E6" w:rsidTr="002875E6">
        <w:tc>
          <w:tcPr>
            <w:tcW w:w="96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开放</w:t>
            </w:r>
          </w:p>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级别</w:t>
            </w:r>
          </w:p>
        </w:tc>
        <w:tc>
          <w:tcPr>
            <w:tcW w:w="297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数据特征</w:t>
            </w:r>
          </w:p>
        </w:tc>
        <w:tc>
          <w:tcPr>
            <w:tcW w:w="3825"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数据示例</w:t>
            </w:r>
          </w:p>
        </w:tc>
        <w:tc>
          <w:tcPr>
            <w:tcW w:w="1275"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开放</w:t>
            </w:r>
          </w:p>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类型</w:t>
            </w:r>
          </w:p>
        </w:tc>
      </w:tr>
      <w:tr w:rsidR="002875E6" w:rsidRPr="002875E6" w:rsidTr="002875E6">
        <w:tc>
          <w:tcPr>
            <w:tcW w:w="9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C0</w:t>
            </w:r>
          </w:p>
        </w:tc>
        <w:tc>
          <w:tcPr>
            <w:tcW w:w="29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left"/>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可从公开途径获取或者法律法规授权公开的数据</w:t>
            </w:r>
          </w:p>
        </w:tc>
        <w:tc>
          <w:tcPr>
            <w:tcW w:w="38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left"/>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1.公共设施、设备的位置、指标参数、运行状态、统计数据等；</w:t>
            </w:r>
            <w:r w:rsidRPr="002875E6">
              <w:rPr>
                <w:rFonts w:ascii="仿宋_GB2312" w:eastAsia="仿宋_GB2312" w:hAnsi="微软雅黑" w:cs="宋体" w:hint="eastAsia"/>
                <w:color w:val="8E8E8E"/>
                <w:kern w:val="0"/>
                <w:szCs w:val="24"/>
              </w:rPr>
              <w:br/>
            </w:r>
            <w:r w:rsidRPr="002875E6">
              <w:rPr>
                <w:rFonts w:ascii="仿宋_GB2312" w:eastAsia="仿宋_GB2312" w:hAnsi="微软雅黑" w:cs="宋体" w:hint="eastAsia"/>
                <w:color w:val="8E8E8E"/>
                <w:kern w:val="0"/>
                <w:szCs w:val="24"/>
              </w:rPr>
              <w:t> </w:t>
            </w:r>
            <w:r w:rsidRPr="002875E6">
              <w:rPr>
                <w:rFonts w:ascii="仿宋_GB2312" w:eastAsia="仿宋_GB2312" w:hAnsi="微软雅黑" w:cs="宋体" w:hint="eastAsia"/>
                <w:color w:val="8E8E8E"/>
                <w:kern w:val="0"/>
                <w:szCs w:val="24"/>
              </w:rPr>
              <w:t xml:space="preserve"> 2.</w:t>
            </w:r>
            <w:r w:rsidRPr="002875E6">
              <w:rPr>
                <w:rFonts w:ascii="仿宋_GB2312" w:eastAsia="仿宋_GB2312" w:hAnsi="微软雅黑" w:cs="宋体" w:hint="eastAsia"/>
                <w:color w:val="8E8E8E"/>
                <w:spacing w:val="-15"/>
                <w:kern w:val="0"/>
                <w:szCs w:val="24"/>
              </w:rPr>
              <w:t>环境保护、公共卫生、安全生产、食品药品、产品质量的监督检查情况。</w:t>
            </w:r>
          </w:p>
        </w:tc>
        <w:tc>
          <w:tcPr>
            <w:tcW w:w="127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无条件</w:t>
            </w:r>
          </w:p>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开放</w:t>
            </w:r>
          </w:p>
        </w:tc>
      </w:tr>
      <w:tr w:rsidR="002875E6" w:rsidRPr="002875E6" w:rsidTr="002875E6">
        <w:trPr>
          <w:trHeight w:val="630"/>
        </w:trPr>
        <w:tc>
          <w:tcPr>
            <w:tcW w:w="9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C1</w:t>
            </w:r>
          </w:p>
        </w:tc>
        <w:tc>
          <w:tcPr>
            <w:tcW w:w="29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left"/>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数据开放风险低，对公共秩序、公共利益影响较小</w:t>
            </w:r>
          </w:p>
        </w:tc>
        <w:tc>
          <w:tcPr>
            <w:tcW w:w="38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left"/>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1.城</w:t>
            </w:r>
            <w:r w:rsidRPr="002875E6">
              <w:rPr>
                <w:rFonts w:ascii="仿宋_GB2312" w:eastAsia="仿宋_GB2312" w:hAnsi="微软雅黑" w:cs="宋体" w:hint="eastAsia"/>
                <w:color w:val="8E8E8E"/>
                <w:spacing w:val="-15"/>
                <w:kern w:val="0"/>
                <w:szCs w:val="24"/>
              </w:rPr>
              <w:t>市公共卫生间、充电桩、公交站等公共服务设施的分布及状态等；</w:t>
            </w:r>
            <w:r w:rsidRPr="002875E6">
              <w:rPr>
                <w:rFonts w:ascii="仿宋_GB2312" w:eastAsia="仿宋_GB2312" w:hAnsi="微软雅黑" w:cs="宋体" w:hint="eastAsia"/>
                <w:color w:val="8E8E8E"/>
                <w:spacing w:val="-15"/>
                <w:kern w:val="0"/>
                <w:szCs w:val="24"/>
              </w:rPr>
              <w:br/>
            </w:r>
            <w:r w:rsidRPr="002875E6">
              <w:rPr>
                <w:rFonts w:ascii="仿宋_GB2312" w:eastAsia="仿宋_GB2312" w:hAnsi="微软雅黑" w:cs="宋体" w:hint="eastAsia"/>
                <w:color w:val="8E8E8E"/>
                <w:spacing w:val="-15"/>
                <w:kern w:val="0"/>
                <w:szCs w:val="24"/>
              </w:rPr>
              <w:t>  </w:t>
            </w:r>
            <w:r w:rsidRPr="002875E6">
              <w:rPr>
                <w:rFonts w:ascii="仿宋_GB2312" w:eastAsia="仿宋_GB2312" w:hAnsi="微软雅黑" w:cs="宋体" w:hint="eastAsia"/>
                <w:color w:val="8E8E8E"/>
                <w:kern w:val="0"/>
                <w:szCs w:val="24"/>
              </w:rPr>
              <w:t>2.城市道路车流量、道路、桥梁、隧道等可通行数据。</w:t>
            </w:r>
          </w:p>
        </w:tc>
        <w:tc>
          <w:tcPr>
            <w:tcW w:w="1275" w:type="dxa"/>
            <w:vMerge w:val="restart"/>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有条件</w:t>
            </w:r>
          </w:p>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开放</w:t>
            </w:r>
          </w:p>
        </w:tc>
      </w:tr>
      <w:tr w:rsidR="002875E6" w:rsidRPr="002875E6" w:rsidTr="002875E6">
        <w:trPr>
          <w:trHeight w:val="630"/>
        </w:trPr>
        <w:tc>
          <w:tcPr>
            <w:tcW w:w="9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C2</w:t>
            </w:r>
          </w:p>
        </w:tc>
        <w:tc>
          <w:tcPr>
            <w:tcW w:w="29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left"/>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数据开放风险中等，数据非授权操作后会对个人、企业、其他组织或国家机关运作造成损害</w:t>
            </w:r>
          </w:p>
        </w:tc>
        <w:tc>
          <w:tcPr>
            <w:tcW w:w="38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left"/>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1.传染病统计数据、药品使用统计数据等；</w:t>
            </w:r>
            <w:r w:rsidRPr="002875E6">
              <w:rPr>
                <w:rFonts w:ascii="仿宋_GB2312" w:eastAsia="仿宋_GB2312" w:hAnsi="微软雅黑" w:cs="宋体" w:hint="eastAsia"/>
                <w:color w:val="8E8E8E"/>
                <w:kern w:val="0"/>
                <w:szCs w:val="24"/>
              </w:rPr>
              <w:br/>
            </w:r>
            <w:r w:rsidRPr="002875E6">
              <w:rPr>
                <w:rFonts w:ascii="仿宋_GB2312" w:eastAsia="仿宋_GB2312" w:hAnsi="微软雅黑" w:cs="宋体" w:hint="eastAsia"/>
                <w:color w:val="8E8E8E"/>
                <w:kern w:val="0"/>
                <w:szCs w:val="24"/>
              </w:rPr>
              <w:t> </w:t>
            </w:r>
            <w:r w:rsidRPr="002875E6">
              <w:rPr>
                <w:rFonts w:ascii="仿宋_GB2312" w:eastAsia="仿宋_GB2312" w:hAnsi="微软雅黑" w:cs="宋体" w:hint="eastAsia"/>
                <w:color w:val="8E8E8E"/>
                <w:kern w:val="0"/>
                <w:szCs w:val="24"/>
              </w:rPr>
              <w:t xml:space="preserve"> 2.公共治安视频数据等。</w:t>
            </w:r>
          </w:p>
        </w:tc>
        <w:tc>
          <w:tcPr>
            <w:tcW w:w="0" w:type="auto"/>
            <w:vMerge/>
            <w:tcBorders>
              <w:top w:val="nil"/>
              <w:left w:val="nil"/>
              <w:bottom w:val="single" w:sz="6" w:space="0" w:color="auto"/>
              <w:right w:val="single" w:sz="6" w:space="0" w:color="auto"/>
            </w:tcBorders>
            <w:shd w:val="clear" w:color="auto" w:fill="FFFFFF"/>
            <w:vAlign w:val="center"/>
            <w:hideMark/>
          </w:tcPr>
          <w:p w:rsidR="002875E6" w:rsidRPr="002875E6" w:rsidRDefault="002875E6" w:rsidP="002875E6">
            <w:pPr>
              <w:widowControl/>
              <w:spacing w:line="240" w:lineRule="auto"/>
              <w:ind w:firstLineChars="0" w:firstLine="0"/>
              <w:jc w:val="left"/>
              <w:rPr>
                <w:rFonts w:ascii="微软雅黑" w:eastAsia="微软雅黑" w:hAnsi="微软雅黑" w:cs="宋体"/>
                <w:color w:val="8E8E8E"/>
                <w:kern w:val="0"/>
                <w:sz w:val="21"/>
                <w:szCs w:val="21"/>
              </w:rPr>
            </w:pPr>
          </w:p>
        </w:tc>
      </w:tr>
      <w:tr w:rsidR="002875E6" w:rsidRPr="002875E6" w:rsidTr="002875E6">
        <w:trPr>
          <w:trHeight w:val="630"/>
        </w:trPr>
        <w:tc>
          <w:tcPr>
            <w:tcW w:w="96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C3</w:t>
            </w:r>
          </w:p>
        </w:tc>
        <w:tc>
          <w:tcPr>
            <w:tcW w:w="297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left"/>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数据开放风险较高，数据非授权操作后会对个人、企业、其他组织或国家造成严重损害</w:t>
            </w:r>
          </w:p>
        </w:tc>
        <w:tc>
          <w:tcPr>
            <w:tcW w:w="382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left"/>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1.</w:t>
            </w:r>
            <w:r w:rsidRPr="002875E6">
              <w:rPr>
                <w:rFonts w:ascii="仿宋_GB2312" w:eastAsia="仿宋_GB2312" w:hAnsi="微软雅黑" w:cs="宋体" w:hint="eastAsia"/>
                <w:color w:val="8E8E8E"/>
                <w:spacing w:val="-15"/>
                <w:kern w:val="0"/>
                <w:szCs w:val="24"/>
              </w:rPr>
              <w:t>重要公共或基础设施的详细数据；</w:t>
            </w:r>
            <w:r w:rsidRPr="002875E6">
              <w:rPr>
                <w:rFonts w:ascii="仿宋_GB2312" w:eastAsia="仿宋_GB2312" w:hAnsi="微软雅黑" w:cs="宋体" w:hint="eastAsia"/>
                <w:color w:val="8E8E8E"/>
                <w:kern w:val="0"/>
                <w:szCs w:val="24"/>
              </w:rPr>
              <w:br/>
            </w:r>
            <w:r w:rsidRPr="002875E6">
              <w:rPr>
                <w:rFonts w:ascii="仿宋_GB2312" w:eastAsia="仿宋_GB2312" w:hAnsi="微软雅黑" w:cs="宋体" w:hint="eastAsia"/>
                <w:color w:val="8E8E8E"/>
                <w:kern w:val="0"/>
                <w:szCs w:val="24"/>
              </w:rPr>
              <w:t> </w:t>
            </w:r>
            <w:r w:rsidRPr="002875E6">
              <w:rPr>
                <w:rFonts w:ascii="仿宋_GB2312" w:eastAsia="仿宋_GB2312" w:hAnsi="微软雅黑" w:cs="宋体" w:hint="eastAsia"/>
                <w:color w:val="8E8E8E"/>
                <w:kern w:val="0"/>
                <w:szCs w:val="24"/>
              </w:rPr>
              <w:t xml:space="preserve"> 2.高精度的地理、海洋、气象测绘数据等；</w:t>
            </w:r>
            <w:r w:rsidRPr="002875E6">
              <w:rPr>
                <w:rFonts w:ascii="仿宋_GB2312" w:eastAsia="仿宋_GB2312" w:hAnsi="微软雅黑" w:cs="宋体" w:hint="eastAsia"/>
                <w:color w:val="8E8E8E"/>
                <w:kern w:val="0"/>
                <w:szCs w:val="24"/>
              </w:rPr>
              <w:br/>
            </w:r>
            <w:r w:rsidRPr="002875E6">
              <w:rPr>
                <w:rFonts w:ascii="仿宋_GB2312" w:eastAsia="仿宋_GB2312" w:hAnsi="微软雅黑" w:cs="宋体" w:hint="eastAsia"/>
                <w:color w:val="8E8E8E"/>
                <w:kern w:val="0"/>
                <w:szCs w:val="24"/>
              </w:rPr>
              <w:t> </w:t>
            </w:r>
            <w:r w:rsidRPr="002875E6">
              <w:rPr>
                <w:rFonts w:ascii="仿宋_GB2312" w:eastAsia="仿宋_GB2312" w:hAnsi="微软雅黑" w:cs="宋体" w:hint="eastAsia"/>
                <w:color w:val="8E8E8E"/>
                <w:kern w:val="0"/>
                <w:szCs w:val="24"/>
              </w:rPr>
              <w:t xml:space="preserve"> 3.各行业监管部门单独规定的本行业高风险数据等。</w:t>
            </w:r>
          </w:p>
        </w:tc>
        <w:tc>
          <w:tcPr>
            <w:tcW w:w="127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非开放</w:t>
            </w:r>
          </w:p>
        </w:tc>
      </w:tr>
    </w:tbl>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lastRenderedPageBreak/>
        <w:t>表4：客体维度开放级别</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8.分级分类流程</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分级分类按照以下流程进行：</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8.1确定分级分类对象</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分级分类的对象为市大数据资源平台中已编目的数据集。</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8.2进行数据分级分类</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数据开放主体按照第7章所述内容，对照表2、表3、表4，确定数据集在个人、组织、客体三个维度的开放级别和开放类别。</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8.3确定开放条件</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对于无条件开放类数据，直接开放数据；</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对于非开放类数据，不予开放；</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对于有条件开放类数据，根据开放级别查询附录，确定公共数据开放条件。由数据利用主体申请使用，评估符合条件后开放；</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8.4非开放类数据处理</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lastRenderedPageBreak/>
        <w:t>对于非开放类数据，经脱敏、匿名等处理后符合开放要求的，可将处理后的数据重新进行分级，纳入无条件开放或有条件开放类后开放。</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noProof/>
          <w:color w:val="8E8E8E"/>
          <w:kern w:val="0"/>
          <w:sz w:val="21"/>
          <w:szCs w:val="21"/>
        </w:rPr>
        <w:drawing>
          <wp:inline distT="0" distB="0" distL="0" distR="0">
            <wp:extent cx="11752580" cy="5210175"/>
            <wp:effectExtent l="0" t="0" r="1270" b="9525"/>
            <wp:docPr id="1" name="图片 1"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752580" cy="5210175"/>
                    </a:xfrm>
                    <a:prstGeom prst="rect">
                      <a:avLst/>
                    </a:prstGeom>
                    <a:noFill/>
                    <a:ln>
                      <a:noFill/>
                    </a:ln>
                  </pic:spPr>
                </pic:pic>
              </a:graphicData>
            </a:graphic>
          </wp:inline>
        </w:drawing>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图1：分级分类流程图</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9.数据融合风险</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分级分类时，应当预判与已开放的数据集多源融合可能造成的数据安全风险。例如：数据集A采用了删除身份证号码中间8位的匿名处理后开放（如310000XXXXXXXX1234），但</w:t>
      </w:r>
      <w:r w:rsidRPr="002875E6">
        <w:rPr>
          <w:rFonts w:ascii="微软雅黑" w:eastAsia="微软雅黑" w:hAnsi="微软雅黑" w:cs="宋体" w:hint="eastAsia"/>
          <w:color w:val="8E8E8E"/>
          <w:kern w:val="0"/>
          <w:sz w:val="21"/>
          <w:szCs w:val="21"/>
        </w:rPr>
        <w:lastRenderedPageBreak/>
        <w:t>同时开放的数据集B中包含了自然人生日信息，在该情况下，等同于开放了自然人全部身份证号码。数据开放主体应当对A、B重新定为更高级别开放，或改变匿名处理方式，处理后重新开放。</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对于无法评估的不确定性风险，建议组织行业专家座谈、提请公共数据开放专家委员会研讨等方式确定开放方。</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10.数据开放条件</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10.1数据安全要求：</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96"/>
        <w:gridCol w:w="2195"/>
        <w:gridCol w:w="5499"/>
      </w:tblGrid>
      <w:tr w:rsidR="002875E6" w:rsidRPr="002875E6" w:rsidTr="002875E6">
        <w:tc>
          <w:tcPr>
            <w:tcW w:w="615"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级别</w:t>
            </w:r>
          </w:p>
        </w:tc>
        <w:tc>
          <w:tcPr>
            <w:tcW w:w="2415"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数据安全</w:t>
            </w:r>
          </w:p>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要求</w:t>
            </w:r>
          </w:p>
        </w:tc>
        <w:tc>
          <w:tcPr>
            <w:tcW w:w="6045"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需提供的相关材料</w:t>
            </w:r>
          </w:p>
        </w:tc>
      </w:tr>
      <w:tr w:rsidR="002875E6" w:rsidRPr="002875E6" w:rsidTr="002875E6">
        <w:tc>
          <w:tcPr>
            <w:tcW w:w="615"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A1</w:t>
            </w:r>
          </w:p>
        </w:tc>
        <w:tc>
          <w:tcPr>
            <w:tcW w:w="241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有基础的数据安全</w:t>
            </w:r>
          </w:p>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保护能力</w:t>
            </w:r>
          </w:p>
        </w:tc>
        <w:tc>
          <w:tcPr>
            <w:tcW w:w="604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数据安全保护人员、相关制度规范。根据具体数据集确定是否需提供个人或企业数据使用授权书。</w:t>
            </w:r>
          </w:p>
        </w:tc>
      </w:tr>
      <w:tr w:rsidR="002875E6" w:rsidRPr="002875E6" w:rsidTr="002875E6">
        <w:tc>
          <w:tcPr>
            <w:tcW w:w="615"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A2</w:t>
            </w:r>
          </w:p>
        </w:tc>
        <w:tc>
          <w:tcPr>
            <w:tcW w:w="241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有较完善的数据安全保护体系</w:t>
            </w:r>
          </w:p>
        </w:tc>
        <w:tc>
          <w:tcPr>
            <w:tcW w:w="604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有等保2级以上，ISO27000等认证，或满足同等要求的数据安全保护体系。根据具体数据集确定是否需提供个人或企业数据使用授权书。</w:t>
            </w:r>
          </w:p>
        </w:tc>
      </w:tr>
      <w:tr w:rsidR="002875E6" w:rsidRPr="002875E6" w:rsidTr="002875E6">
        <w:tc>
          <w:tcPr>
            <w:tcW w:w="615"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B1</w:t>
            </w:r>
          </w:p>
        </w:tc>
        <w:tc>
          <w:tcPr>
            <w:tcW w:w="241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有较完善的数据安全保护体系</w:t>
            </w:r>
          </w:p>
        </w:tc>
        <w:tc>
          <w:tcPr>
            <w:tcW w:w="604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有等保2级以上，ISO27000等认证，或有满足同等要求的数据安全保护措施。根据具体数据集确定是否需提供个人或企业数据使用授权书。</w:t>
            </w:r>
          </w:p>
        </w:tc>
      </w:tr>
      <w:tr w:rsidR="002875E6" w:rsidRPr="002875E6" w:rsidTr="002875E6">
        <w:tc>
          <w:tcPr>
            <w:tcW w:w="615"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C1</w:t>
            </w:r>
          </w:p>
        </w:tc>
        <w:tc>
          <w:tcPr>
            <w:tcW w:w="241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有基础的数据安全</w:t>
            </w:r>
          </w:p>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保护能力</w:t>
            </w:r>
          </w:p>
        </w:tc>
        <w:tc>
          <w:tcPr>
            <w:tcW w:w="604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有数据安全保护人员、相关制度规范。根据具体数据集确定是否需提供个人或企业数据使用授权书。</w:t>
            </w:r>
          </w:p>
        </w:tc>
      </w:tr>
      <w:tr w:rsidR="002875E6" w:rsidRPr="002875E6" w:rsidTr="002875E6">
        <w:tc>
          <w:tcPr>
            <w:tcW w:w="615"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lastRenderedPageBreak/>
              <w:t>C2</w:t>
            </w:r>
          </w:p>
        </w:tc>
        <w:tc>
          <w:tcPr>
            <w:tcW w:w="241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有较完善的数据安全保护体系</w:t>
            </w:r>
          </w:p>
        </w:tc>
        <w:tc>
          <w:tcPr>
            <w:tcW w:w="6045"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有等保2级以上，ISO27000等认证，或满足同等要求的数据安全保护体系。根据具体数据集确定是否需提供个人或企业数据使用授权书。</w:t>
            </w:r>
          </w:p>
        </w:tc>
      </w:tr>
    </w:tbl>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附表1</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10.2应用场景要求：</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765"/>
        <w:gridCol w:w="3930"/>
        <w:gridCol w:w="3000"/>
      </w:tblGrid>
      <w:tr w:rsidR="002875E6" w:rsidRPr="002875E6" w:rsidTr="002875E6">
        <w:tc>
          <w:tcPr>
            <w:tcW w:w="765"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级别</w:t>
            </w:r>
          </w:p>
        </w:tc>
        <w:tc>
          <w:tcPr>
            <w:tcW w:w="393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应用场景要求</w:t>
            </w:r>
          </w:p>
        </w:tc>
        <w:tc>
          <w:tcPr>
            <w:tcW w:w="300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示例或禁止</w:t>
            </w:r>
          </w:p>
        </w:tc>
      </w:tr>
      <w:tr w:rsidR="002875E6" w:rsidRPr="002875E6" w:rsidTr="002875E6">
        <w:tc>
          <w:tcPr>
            <w:tcW w:w="765"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A1</w:t>
            </w:r>
          </w:p>
        </w:tc>
        <w:tc>
          <w:tcPr>
            <w:tcW w:w="39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不得用于挖掘个人敏感信息</w:t>
            </w:r>
          </w:p>
        </w:tc>
        <w:tc>
          <w:tcPr>
            <w:tcW w:w="30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spacing w:val="-15"/>
                <w:kern w:val="0"/>
                <w:szCs w:val="24"/>
              </w:rPr>
              <w:t>禁止用于营销等目的的个人敏感信息挖掘，例如：融合自有数据挖掘个人电话号码。</w:t>
            </w:r>
          </w:p>
        </w:tc>
      </w:tr>
      <w:tr w:rsidR="002875E6" w:rsidRPr="002875E6" w:rsidTr="002875E6">
        <w:tc>
          <w:tcPr>
            <w:tcW w:w="765"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A2</w:t>
            </w:r>
          </w:p>
        </w:tc>
        <w:tc>
          <w:tcPr>
            <w:tcW w:w="39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仅可在自身业务范围内进行科学研究、咨询报告、业务支撑等场景，不得对外提供查询服务</w:t>
            </w:r>
          </w:p>
        </w:tc>
        <w:tc>
          <w:tcPr>
            <w:tcW w:w="30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15"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禁止用于向他人提供敏感信息的查询，例如：匿名的个人X光片可以进行科学研究，但不可用于向第三方提供查阅服务。</w:t>
            </w:r>
          </w:p>
        </w:tc>
      </w:tr>
      <w:tr w:rsidR="002875E6" w:rsidRPr="002875E6" w:rsidTr="002875E6">
        <w:tc>
          <w:tcPr>
            <w:tcW w:w="765"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B1</w:t>
            </w:r>
          </w:p>
        </w:tc>
        <w:tc>
          <w:tcPr>
            <w:tcW w:w="39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spacing w:val="-15"/>
                <w:kern w:val="0"/>
                <w:szCs w:val="24"/>
              </w:rPr>
              <w:t>仅可在自身业务范围内进行科学研究、咨询报告、业务支撑等场景，不得针对具体组织对外发布新闻等信息</w:t>
            </w:r>
          </w:p>
        </w:tc>
        <w:tc>
          <w:tcPr>
            <w:tcW w:w="30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不得发布相关解读。例如：禁止发布某企业用电量过低的新闻。</w:t>
            </w:r>
          </w:p>
        </w:tc>
      </w:tr>
      <w:tr w:rsidR="002875E6" w:rsidRPr="002875E6" w:rsidTr="002875E6">
        <w:tc>
          <w:tcPr>
            <w:tcW w:w="765"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C1</w:t>
            </w:r>
          </w:p>
        </w:tc>
        <w:tc>
          <w:tcPr>
            <w:tcW w:w="39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可在自身业务范围内进行科学研究、咨询报告、业务支撑等场景</w:t>
            </w:r>
          </w:p>
        </w:tc>
        <w:tc>
          <w:tcPr>
            <w:tcW w:w="30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例如：公共充电桩充电信息，可以进行商店选址、规划等业务支撑。</w:t>
            </w:r>
          </w:p>
        </w:tc>
      </w:tr>
      <w:tr w:rsidR="002875E6" w:rsidRPr="002875E6" w:rsidTr="002875E6">
        <w:tc>
          <w:tcPr>
            <w:tcW w:w="765"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C2</w:t>
            </w:r>
          </w:p>
        </w:tc>
        <w:tc>
          <w:tcPr>
            <w:tcW w:w="393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仅可用于主管部门授权的场景</w:t>
            </w:r>
          </w:p>
        </w:tc>
        <w:tc>
          <w:tcPr>
            <w:tcW w:w="300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vAlign w:val="cente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例如：对交通监控视频数据的使用必须提供公安部门的授权。</w:t>
            </w:r>
          </w:p>
        </w:tc>
      </w:tr>
    </w:tbl>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附表2</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10.3反馈要求：</w:t>
      </w:r>
    </w:p>
    <w:tbl>
      <w:tblPr>
        <w:tblW w:w="0" w:type="auto"/>
        <w:tblBorders>
          <w:top w:val="outset" w:sz="6" w:space="0" w:color="auto"/>
          <w:left w:val="outset" w:sz="6" w:space="0" w:color="auto"/>
          <w:bottom w:val="outset" w:sz="6" w:space="0" w:color="auto"/>
          <w:right w:val="outset" w:sz="6"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90"/>
        <w:gridCol w:w="7200"/>
      </w:tblGrid>
      <w:tr w:rsidR="002875E6" w:rsidRPr="002875E6" w:rsidTr="002875E6">
        <w:tc>
          <w:tcPr>
            <w:tcW w:w="1140" w:type="dxa"/>
            <w:tcBorders>
              <w:top w:val="single" w:sz="6" w:space="0" w:color="auto"/>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lastRenderedPageBreak/>
              <w:t>级别</w:t>
            </w:r>
          </w:p>
        </w:tc>
        <w:tc>
          <w:tcPr>
            <w:tcW w:w="7710" w:type="dxa"/>
            <w:tcBorders>
              <w:top w:val="single" w:sz="6" w:space="0" w:color="auto"/>
              <w:left w:val="nil"/>
              <w:bottom w:val="single" w:sz="6" w:space="0" w:color="auto"/>
              <w:right w:val="single" w:sz="6" w:space="0" w:color="auto"/>
            </w:tcBorders>
            <w:shd w:val="clear" w:color="auto" w:fill="FFFFFF"/>
            <w:tcMar>
              <w:top w:w="0" w:type="dxa"/>
              <w:left w:w="105" w:type="dxa"/>
              <w:bottom w:w="0" w:type="dxa"/>
              <w:right w:w="105" w:type="dxa"/>
            </w:tcMa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b/>
                <w:bCs/>
                <w:color w:val="8E8E8E"/>
                <w:kern w:val="0"/>
                <w:szCs w:val="24"/>
              </w:rPr>
              <w:t>反馈内容</w:t>
            </w:r>
          </w:p>
        </w:tc>
      </w:tr>
      <w:tr w:rsidR="002875E6" w:rsidRPr="002875E6" w:rsidTr="002875E6">
        <w:tc>
          <w:tcPr>
            <w:tcW w:w="114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A1</w:t>
            </w:r>
          </w:p>
        </w:tc>
        <w:tc>
          <w:tcPr>
            <w:tcW w:w="771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注明数据来源，定期抽查数据使用情况</w:t>
            </w:r>
          </w:p>
        </w:tc>
      </w:tr>
      <w:tr w:rsidR="002875E6" w:rsidRPr="002875E6" w:rsidTr="002875E6">
        <w:tc>
          <w:tcPr>
            <w:tcW w:w="114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A2</w:t>
            </w:r>
          </w:p>
        </w:tc>
        <w:tc>
          <w:tcPr>
            <w:tcW w:w="771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注明数据来源，实时日志反馈，定期提交利用报告</w:t>
            </w:r>
          </w:p>
        </w:tc>
      </w:tr>
      <w:tr w:rsidR="002875E6" w:rsidRPr="002875E6" w:rsidTr="002875E6">
        <w:tc>
          <w:tcPr>
            <w:tcW w:w="114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B1</w:t>
            </w:r>
          </w:p>
        </w:tc>
        <w:tc>
          <w:tcPr>
            <w:tcW w:w="771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注明数据来源，定期抽查数据使用情况</w:t>
            </w:r>
          </w:p>
        </w:tc>
      </w:tr>
      <w:tr w:rsidR="002875E6" w:rsidRPr="002875E6" w:rsidTr="002875E6">
        <w:tc>
          <w:tcPr>
            <w:tcW w:w="114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C1</w:t>
            </w:r>
          </w:p>
        </w:tc>
        <w:tc>
          <w:tcPr>
            <w:tcW w:w="771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注明数据来源，定期抽查数据使用情况</w:t>
            </w:r>
          </w:p>
        </w:tc>
      </w:tr>
      <w:tr w:rsidR="002875E6" w:rsidRPr="002875E6" w:rsidTr="002875E6">
        <w:tc>
          <w:tcPr>
            <w:tcW w:w="1140" w:type="dxa"/>
            <w:tcBorders>
              <w:top w:val="nil"/>
              <w:left w:val="single" w:sz="6" w:space="0" w:color="auto"/>
              <w:bottom w:val="single" w:sz="6" w:space="0" w:color="auto"/>
              <w:right w:val="single" w:sz="6" w:space="0" w:color="auto"/>
            </w:tcBorders>
            <w:shd w:val="clear" w:color="auto" w:fill="FFFFFF"/>
            <w:tcMar>
              <w:top w:w="0" w:type="dxa"/>
              <w:left w:w="105" w:type="dxa"/>
              <w:bottom w:w="0" w:type="dxa"/>
              <w:right w:w="105" w:type="dxa"/>
            </w:tcMa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C2</w:t>
            </w:r>
          </w:p>
        </w:tc>
        <w:tc>
          <w:tcPr>
            <w:tcW w:w="7710" w:type="dxa"/>
            <w:tcBorders>
              <w:top w:val="nil"/>
              <w:left w:val="nil"/>
              <w:bottom w:val="single" w:sz="6" w:space="0" w:color="auto"/>
              <w:right w:val="single" w:sz="6" w:space="0" w:color="auto"/>
            </w:tcBorders>
            <w:shd w:val="clear" w:color="auto" w:fill="FFFFFF"/>
            <w:tcMar>
              <w:top w:w="0" w:type="dxa"/>
              <w:left w:w="105" w:type="dxa"/>
              <w:bottom w:w="0" w:type="dxa"/>
              <w:right w:w="105" w:type="dxa"/>
            </w:tcMar>
            <w:hideMark/>
          </w:tcPr>
          <w:p w:rsidR="002875E6" w:rsidRPr="002875E6" w:rsidRDefault="002875E6" w:rsidP="002875E6">
            <w:pPr>
              <w:widowControl/>
              <w:spacing w:after="375" w:line="300" w:lineRule="atLeast"/>
              <w:ind w:firstLineChars="0" w:firstLine="0"/>
              <w:jc w:val="center"/>
              <w:rPr>
                <w:rFonts w:ascii="微软雅黑" w:eastAsia="微软雅黑" w:hAnsi="微软雅黑" w:cs="宋体" w:hint="eastAsia"/>
                <w:color w:val="8E8E8E"/>
                <w:kern w:val="0"/>
                <w:sz w:val="21"/>
                <w:szCs w:val="21"/>
              </w:rPr>
            </w:pPr>
            <w:r w:rsidRPr="002875E6">
              <w:rPr>
                <w:rFonts w:ascii="仿宋_GB2312" w:eastAsia="仿宋_GB2312" w:hAnsi="微软雅黑" w:cs="宋体" w:hint="eastAsia"/>
                <w:color w:val="8E8E8E"/>
                <w:kern w:val="0"/>
                <w:szCs w:val="24"/>
              </w:rPr>
              <w:t>注明数据来源，实时日志反馈，定期提交利用报告</w:t>
            </w:r>
          </w:p>
        </w:tc>
      </w:tr>
    </w:tbl>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附表3</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11.分级分类示例</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数据集名称：2018年交通处罚信息。</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字段：决定书编号，案件案号，处罚当事人，法人代表，违章事实，处罚依据，处罚结果，执法主体，处罚日期</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11.1数据分级：</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A.个人维度：处罚当事人、法人代表中含有个人姓名，违章事实、处罚结果、处罚日期属于个人非敏感信息。列入A1级。</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B.组织维度：决定书编号，案件案号，执法主体为低风险的数据项，如果泄露不会造成对组织的不良影响。列入B0级。</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C.客体维度：处罚依据为公开可查询的客体信息，造成不良影响风险较低。列入C0级。</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lastRenderedPageBreak/>
        <w:t>数据集整体描述了交通违法违章的处罚情况，无国家秘密、商业机密。</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综上，本数据集的开放级别为A1，B0，C0级。</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11.2数据分类：</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由于A1级为有条件开放，B0、C0为无条件开放，因此本数据集为有条件开放。</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11.3确定开放条件：</w:t>
      </w:r>
    </w:p>
    <w:p w:rsidR="002875E6" w:rsidRPr="002875E6" w:rsidRDefault="002875E6" w:rsidP="002875E6">
      <w:pPr>
        <w:widowControl/>
        <w:shd w:val="clear" w:color="auto" w:fill="FFFFFF"/>
        <w:spacing w:after="375" w:line="240" w:lineRule="auto"/>
        <w:ind w:firstLineChars="0" w:firstLine="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查询附表1、2、3中A1级所对应的开放条件可得：</w:t>
      </w:r>
    </w:p>
    <w:p w:rsidR="002875E6" w:rsidRPr="002875E6" w:rsidRDefault="002875E6" w:rsidP="002875E6">
      <w:pPr>
        <w:widowControl/>
        <w:shd w:val="clear" w:color="auto" w:fill="FFFFFF"/>
        <w:spacing w:after="375" w:line="240" w:lineRule="auto"/>
        <w:ind w:firstLineChars="0" w:firstLine="420"/>
        <w:rPr>
          <w:rFonts w:ascii="微软雅黑" w:eastAsia="微软雅黑" w:hAnsi="微软雅黑" w:cs="宋体" w:hint="eastAsia"/>
          <w:color w:val="8E8E8E"/>
          <w:kern w:val="0"/>
          <w:sz w:val="21"/>
          <w:szCs w:val="21"/>
        </w:rPr>
      </w:pPr>
      <w:r w:rsidRPr="002875E6">
        <w:rPr>
          <w:rFonts w:ascii="微软雅黑" w:eastAsia="微软雅黑" w:hAnsi="微软雅黑" w:cs="宋体" w:hint="eastAsia"/>
          <w:color w:val="8E8E8E"/>
          <w:kern w:val="0"/>
          <w:sz w:val="21"/>
          <w:szCs w:val="21"/>
        </w:rPr>
        <w:t>数据利用主体需有基础的数据安全保护能力（需提供数据安全保护负责人和联系方式，有数据安全和隐私保护制度），并提供个人数据使用授权书，应用场景不得用于个人敏感信息挖掘，需配合定期抽查数据使用情况，形成成果的，应当注明数据使用来源。</w:t>
      </w:r>
    </w:p>
    <w:p w:rsidR="003117C7" w:rsidRPr="002875E6" w:rsidRDefault="003117C7">
      <w:pPr>
        <w:ind w:firstLine="480"/>
      </w:pPr>
      <w:bookmarkStart w:id="0" w:name="_GoBack"/>
      <w:bookmarkEnd w:id="0"/>
    </w:p>
    <w:sectPr w:rsidR="003117C7" w:rsidRPr="002875E6">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0464" w:rsidRDefault="00130464" w:rsidP="002875E6">
      <w:pPr>
        <w:spacing w:line="240" w:lineRule="auto"/>
        <w:ind w:firstLine="480"/>
      </w:pPr>
      <w:r>
        <w:separator/>
      </w:r>
    </w:p>
  </w:endnote>
  <w:endnote w:type="continuationSeparator" w:id="0">
    <w:p w:rsidR="00130464" w:rsidRDefault="00130464" w:rsidP="002875E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仿宋_GB2312">
    <w:altName w:val="仿宋"/>
    <w:panose1 w:val="00000000000000000000"/>
    <w:charset w:val="86"/>
    <w:family w:val="roman"/>
    <w:notTrueType/>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E6" w:rsidRDefault="002875E6">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E6" w:rsidRDefault="002875E6">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E6" w:rsidRDefault="002875E6">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0464" w:rsidRDefault="00130464" w:rsidP="002875E6">
      <w:pPr>
        <w:spacing w:line="240" w:lineRule="auto"/>
        <w:ind w:firstLine="480"/>
      </w:pPr>
      <w:r>
        <w:separator/>
      </w:r>
    </w:p>
  </w:footnote>
  <w:footnote w:type="continuationSeparator" w:id="0">
    <w:p w:rsidR="00130464" w:rsidRDefault="00130464" w:rsidP="002875E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E6" w:rsidRDefault="002875E6">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E6" w:rsidRDefault="002875E6">
    <w:pPr>
      <w:pStyle w:val="a3"/>
      <w:ind w:firstLine="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875E6" w:rsidRDefault="002875E6">
    <w:pPr>
      <w:pStyle w:val="a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5172E7"/>
    <w:multiLevelType w:val="multilevel"/>
    <w:tmpl w:val="9648F342"/>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567"/>
      </w:pPr>
      <w:rPr>
        <w:rFonts w:hint="eastAsia"/>
      </w:rPr>
    </w:lvl>
    <w:lvl w:ilvl="2">
      <w:start w:val="1"/>
      <w:numFmt w:val="decimal"/>
      <w:pStyle w:val="3"/>
      <w:isLgl/>
      <w:suff w:val="space"/>
      <w:lvlText w:val="%1.%2.%3"/>
      <w:lvlJc w:val="left"/>
      <w:pPr>
        <w:ind w:left="1418" w:hanging="567"/>
      </w:pPr>
      <w:rPr>
        <w:rFonts w:hint="eastAsia"/>
      </w:rPr>
    </w:lvl>
    <w:lvl w:ilvl="3">
      <w:start w:val="1"/>
      <w:numFmt w:val="decimal"/>
      <w:pStyle w:val="4"/>
      <w:isLgl/>
      <w:suff w:val="space"/>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4"/>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57B2"/>
    <w:rsid w:val="00130464"/>
    <w:rsid w:val="002875E6"/>
    <w:rsid w:val="003117C7"/>
    <w:rsid w:val="00610026"/>
    <w:rsid w:val="00A35CF9"/>
    <w:rsid w:val="00AB57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D8DA597-B8FB-4442-B655-21FF78C99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35CF9"/>
    <w:pPr>
      <w:widowControl w:val="0"/>
      <w:spacing w:line="360" w:lineRule="auto"/>
      <w:ind w:firstLineChars="200" w:firstLine="200"/>
      <w:jc w:val="both"/>
    </w:pPr>
    <w:rPr>
      <w:rFonts w:eastAsia="宋体"/>
      <w:sz w:val="24"/>
    </w:rPr>
  </w:style>
  <w:style w:type="paragraph" w:styleId="1">
    <w:name w:val="heading 1"/>
    <w:next w:val="a"/>
    <w:link w:val="10"/>
    <w:uiPriority w:val="9"/>
    <w:qFormat/>
    <w:rsid w:val="00A35CF9"/>
    <w:pPr>
      <w:keepNext/>
      <w:keepLines/>
      <w:numPr>
        <w:numId w:val="11"/>
      </w:numPr>
      <w:spacing w:before="340" w:after="330" w:line="360" w:lineRule="auto"/>
      <w:outlineLvl w:val="0"/>
    </w:pPr>
    <w:rPr>
      <w:rFonts w:eastAsia="宋体"/>
      <w:b/>
      <w:bCs/>
      <w:kern w:val="44"/>
      <w:sz w:val="44"/>
      <w:szCs w:val="44"/>
    </w:rPr>
  </w:style>
  <w:style w:type="paragraph" w:styleId="2">
    <w:name w:val="heading 2"/>
    <w:basedOn w:val="a"/>
    <w:next w:val="a"/>
    <w:link w:val="20"/>
    <w:uiPriority w:val="9"/>
    <w:unhideWhenUsed/>
    <w:qFormat/>
    <w:rsid w:val="00A35CF9"/>
    <w:pPr>
      <w:keepNext/>
      <w:keepLines/>
      <w:numPr>
        <w:ilvl w:val="1"/>
        <w:numId w:val="11"/>
      </w:numPr>
      <w:spacing w:before="260" w:after="260"/>
      <w:ind w:firstLineChars="0" w:firstLine="0"/>
      <w:jc w:val="left"/>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A35CF9"/>
    <w:pPr>
      <w:keepNext/>
      <w:keepLines/>
      <w:numPr>
        <w:ilvl w:val="2"/>
        <w:numId w:val="11"/>
      </w:numPr>
      <w:spacing w:before="260" w:after="260"/>
      <w:ind w:firstLineChars="0" w:firstLine="0"/>
      <w:jc w:val="left"/>
      <w:outlineLvl w:val="2"/>
    </w:pPr>
    <w:rPr>
      <w:b/>
      <w:bCs/>
      <w:sz w:val="32"/>
      <w:szCs w:val="32"/>
    </w:rPr>
  </w:style>
  <w:style w:type="paragraph" w:styleId="4">
    <w:name w:val="heading 4"/>
    <w:basedOn w:val="a"/>
    <w:next w:val="a"/>
    <w:link w:val="40"/>
    <w:uiPriority w:val="9"/>
    <w:unhideWhenUsed/>
    <w:qFormat/>
    <w:rsid w:val="00A35CF9"/>
    <w:pPr>
      <w:keepNext/>
      <w:keepLines/>
      <w:numPr>
        <w:ilvl w:val="3"/>
        <w:numId w:val="1"/>
      </w:numPr>
      <w:spacing w:before="280" w:after="290"/>
      <w:ind w:left="170" w:firstLineChars="0" w:firstLine="0"/>
      <w:jc w:val="lef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35CF9"/>
    <w:rPr>
      <w:rFonts w:eastAsia="宋体"/>
      <w:b/>
      <w:bCs/>
      <w:kern w:val="44"/>
      <w:sz w:val="44"/>
      <w:szCs w:val="44"/>
    </w:rPr>
  </w:style>
  <w:style w:type="character" w:customStyle="1" w:styleId="20">
    <w:name w:val="标题 2 字符"/>
    <w:basedOn w:val="a0"/>
    <w:link w:val="2"/>
    <w:uiPriority w:val="9"/>
    <w:rsid w:val="00A35CF9"/>
    <w:rPr>
      <w:rFonts w:asciiTheme="majorHAnsi" w:eastAsiaTheme="majorEastAsia" w:hAnsiTheme="majorHAnsi" w:cstheme="majorBidi"/>
      <w:b/>
      <w:bCs/>
      <w:sz w:val="32"/>
      <w:szCs w:val="32"/>
    </w:rPr>
  </w:style>
  <w:style w:type="character" w:customStyle="1" w:styleId="30">
    <w:name w:val="标题 3 字符"/>
    <w:basedOn w:val="a0"/>
    <w:link w:val="3"/>
    <w:uiPriority w:val="9"/>
    <w:rsid w:val="00A35CF9"/>
    <w:rPr>
      <w:rFonts w:eastAsia="宋体"/>
      <w:b/>
      <w:bCs/>
      <w:sz w:val="32"/>
      <w:szCs w:val="32"/>
    </w:rPr>
  </w:style>
  <w:style w:type="character" w:customStyle="1" w:styleId="40">
    <w:name w:val="标题 4 字符"/>
    <w:basedOn w:val="a0"/>
    <w:link w:val="4"/>
    <w:uiPriority w:val="9"/>
    <w:rsid w:val="00A35CF9"/>
    <w:rPr>
      <w:rFonts w:asciiTheme="majorHAnsi" w:eastAsiaTheme="majorEastAsia" w:hAnsiTheme="majorHAnsi" w:cstheme="majorBidi"/>
      <w:b/>
      <w:bCs/>
      <w:sz w:val="28"/>
      <w:szCs w:val="28"/>
    </w:rPr>
  </w:style>
  <w:style w:type="paragraph" w:styleId="a3">
    <w:name w:val="header"/>
    <w:basedOn w:val="a"/>
    <w:link w:val="a4"/>
    <w:uiPriority w:val="99"/>
    <w:unhideWhenUsed/>
    <w:rsid w:val="002875E6"/>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2875E6"/>
    <w:rPr>
      <w:rFonts w:eastAsia="宋体"/>
      <w:sz w:val="18"/>
      <w:szCs w:val="18"/>
    </w:rPr>
  </w:style>
  <w:style w:type="paragraph" w:styleId="a5">
    <w:name w:val="footer"/>
    <w:basedOn w:val="a"/>
    <w:link w:val="a6"/>
    <w:uiPriority w:val="99"/>
    <w:unhideWhenUsed/>
    <w:rsid w:val="002875E6"/>
    <w:pPr>
      <w:tabs>
        <w:tab w:val="center" w:pos="4153"/>
        <w:tab w:val="right" w:pos="8306"/>
      </w:tabs>
      <w:snapToGrid w:val="0"/>
      <w:spacing w:line="240" w:lineRule="auto"/>
      <w:jc w:val="left"/>
    </w:pPr>
    <w:rPr>
      <w:sz w:val="18"/>
      <w:szCs w:val="18"/>
    </w:rPr>
  </w:style>
  <w:style w:type="character" w:customStyle="1" w:styleId="a6">
    <w:name w:val="页脚 字符"/>
    <w:basedOn w:val="a0"/>
    <w:link w:val="a5"/>
    <w:uiPriority w:val="99"/>
    <w:rsid w:val="002875E6"/>
    <w:rPr>
      <w:rFonts w:eastAsia="宋体"/>
      <w:sz w:val="18"/>
      <w:szCs w:val="18"/>
    </w:rPr>
  </w:style>
  <w:style w:type="paragraph" w:styleId="a7">
    <w:name w:val="Normal (Web)"/>
    <w:basedOn w:val="a"/>
    <w:uiPriority w:val="99"/>
    <w:semiHidden/>
    <w:unhideWhenUsed/>
    <w:rsid w:val="002875E6"/>
    <w:pPr>
      <w:widowControl/>
      <w:spacing w:before="100" w:beforeAutospacing="1" w:after="100" w:afterAutospacing="1" w:line="240" w:lineRule="auto"/>
      <w:ind w:firstLineChars="0" w:firstLine="0"/>
      <w:jc w:val="left"/>
    </w:pPr>
    <w:rPr>
      <w:rFonts w:ascii="宋体" w:hAnsi="宋体" w:cs="宋体"/>
      <w:kern w:val="0"/>
      <w:szCs w:val="24"/>
    </w:rPr>
  </w:style>
  <w:style w:type="character" w:styleId="a8">
    <w:name w:val="Strong"/>
    <w:basedOn w:val="a0"/>
    <w:uiPriority w:val="22"/>
    <w:qFormat/>
    <w:rsid w:val="002875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601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948</Words>
  <Characters>5410</Characters>
  <Application>Microsoft Office Word</Application>
  <DocSecurity>0</DocSecurity>
  <Lines>45</Lines>
  <Paragraphs>12</Paragraphs>
  <ScaleCrop>false</ScaleCrop>
  <Company/>
  <LinksUpToDate>false</LinksUpToDate>
  <CharactersWithSpaces>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Dimu</dc:creator>
  <cp:keywords/>
  <dc:description/>
  <cp:lastModifiedBy>Dimu</cp:lastModifiedBy>
  <cp:revision>2</cp:revision>
  <dcterms:created xsi:type="dcterms:W3CDTF">2021-08-01T15:36:00Z</dcterms:created>
  <dcterms:modified xsi:type="dcterms:W3CDTF">2021-08-01T15:37:00Z</dcterms:modified>
</cp:coreProperties>
</file>