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C38697">
      <w:pPr>
        <w:spacing w:before="3000"/>
      </w:pPr>
    </w:p>
    <w:p w14:paraId="05B1CD8E">
      <w:pPr>
        <w:jc w:val="center"/>
      </w:pPr>
      <w:r>
        <w:rPr>
          <w:rFonts w:ascii="微软雅黑" w:hAnsi="微软雅黑" w:eastAsia="微软雅黑" w:cs="微软雅黑"/>
          <w:b/>
          <w:bCs/>
          <w:color w:val="1F4E79"/>
          <w:sz w:val="48"/>
          <w:szCs w:val="48"/>
        </w:rPr>
        <w:t>机器学习期末大作业</w:t>
      </w:r>
    </w:p>
    <w:p w14:paraId="2F6B3754">
      <w:pPr>
        <w:spacing w:after="200"/>
      </w:pPr>
    </w:p>
    <w:p w14:paraId="11A993E1">
      <w:pPr>
        <w:jc w:val="center"/>
      </w:pPr>
      <w:r>
        <w:rPr>
          <w:rFonts w:ascii="微软雅黑" w:hAnsi="微软雅黑" w:eastAsia="微软雅黑" w:cs="微软雅黑"/>
          <w:color w:val="333333"/>
          <w:sz w:val="30"/>
          <w:szCs w:val="30"/>
        </w:rPr>
        <w:t>基于 Dry Bean Dataset 的多分类
全流程机器学习工程</w:t>
      </w:r>
    </w:p>
    <w:p w14:paraId="21DBC501">
      <w:pPr>
        <w:spacing w:after="600"/>
      </w:pPr>
    </w:p>
    <w:p w14:paraId="038345AA">
      <w:pPr>
        <w:jc w:val="center"/>
      </w:pPr>
      <w:r>
        <w:rPr>
          <w:rFonts w:ascii="微软雅黑" w:hAnsi="微软雅黑" w:eastAsia="微软雅黑" w:cs="微软雅黑"/>
          <w:color w:val="666666"/>
          <w:sz w:val="22"/>
          <w:szCs w:val="22"/>
        </w:rPr>
        <w:t>——数据分析 · 数据处理 · 多算法实验 · 系统展示 · 课程总结</w:t>
      </w:r>
    </w:p>
    <w:p w14:paraId="14628313">
      <w:pPr>
        <w:spacing w:before="1600"/>
      </w:pPr>
    </w:p>
    <w:p w14:paraId="1C246370">
      <w:pPr>
        <w:jc w:val="center"/>
      </w:pPr>
      <w:r>
        <w:rPr>
          <w:rFonts w:ascii="微软雅黑" w:hAnsi="微软雅黑" w:eastAsia="微软雅黑" w:cs="微软雅黑"/>
          <w:sz w:val="24"/>
          <w:szCs w:val="24"/>
        </w:rPr>
        <w:t>课程：机器学习</w:t>
      </w:r>
    </w:p>
    <w:p w14:paraId="3AA0EC6C">
      <w:pPr>
        <w:jc w:val="center"/>
      </w:pPr>
      <w:r>
        <w:rPr>
          <w:rFonts w:ascii="微软雅黑" w:hAnsi="微软雅黑" w:eastAsia="微软雅黑" w:cs="微软雅黑"/>
          <w:sz w:val="24"/>
          <w:szCs w:val="24"/>
        </w:rPr>
        <w:t>提交日期：2026年6月</w:t>
      </w:r>
    </w:p>
    <w:p w14:paraId="299EE4E2"/>
    <w:p w14:paraId="1D1CCC94"/>
    <w:p w14:paraId="29B82642"/>
    <w:p w14:paraId="7C800528"/>
    <w:p w14:paraId="4CF5595F"/>
    <w:p w14:paraId="48612A14"/>
    <w:p w14:paraId="47BA86DF"/>
    <w:p w14:paraId="20E8DCF9"/>
    <w:p w14:paraId="6069E353"/>
    <w:p w14:paraId="44BEEC7B"/>
    <w:p w14:paraId="285C0855"/>
    <w:p w14:paraId="5C242F4D">
      <w:pPr>
        <w:pStyle w:val="2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目  录</w:t>
      </w:r>
    </w:p>
    <w:p w14:paraId="791AED2F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第一章  数据分析</w:t>
      </w:r>
    </w:p>
    <w:p w14:paraId="26B1F9EB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第二章  数据处理</w:t>
      </w:r>
    </w:p>
    <w:p w14:paraId="57A9C00C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第三章  多算法实验分析</w:t>
      </w:r>
    </w:p>
    <w:p w14:paraId="737B59C6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 xml:space="preserve">    3.1  算法介绍</w:t>
      </w:r>
    </w:p>
    <w:p w14:paraId="6896D7CB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 xml:space="preserve">    3.2  测试集精度对比</w:t>
      </w:r>
    </w:p>
    <w:p w14:paraId="1607D3FE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 xml:space="preserve">    3.3  Loss曲线对比</w:t>
      </w:r>
    </w:p>
    <w:p w14:paraId="1445BCAF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 xml:space="preserve">    3.4  推理速度对比</w:t>
      </w:r>
    </w:p>
    <w:p w14:paraId="59B49F4F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 xml:space="preserve">    3.5  鲁棒性分析</w:t>
      </w:r>
    </w:p>
    <w:p w14:paraId="43CDA6B1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 xml:space="preserve">    3.6  过拟合分析</w:t>
      </w:r>
    </w:p>
    <w:p w14:paraId="5EE968FF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第四章  系统展示</w:t>
      </w:r>
      <w:bookmarkStart w:id="0" w:name="_GoBack"/>
      <w:bookmarkEnd w:id="0"/>
    </w:p>
    <w:p w14:paraId="50FF3AD4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第五章  课程总结</w:t>
      </w:r>
    </w:p>
    <w:p w14:paraId="14C3B5E7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参考文献</w:t>
      </w:r>
    </w:p>
    <w:p w14:paraId="2ADE74D0"/>
    <w:p w14:paraId="79CDD23F">
      <w:pPr>
        <w:pageBreakBefore/>
      </w:pPr>
    </w:p>
    <w:p w14:paraId="7689BFAE">
      <w:pPr>
        <w:pStyle w:val="2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第一章  数据分析</w:t>
      </w:r>
    </w:p>
    <w:p w14:paraId="27CD52C6">
      <w:pPr>
        <w:pStyle w:val="3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1.1  数据集概述</w:t>
      </w:r>
    </w:p>
    <w:p w14:paraId="4EAEFB12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本实验使用的数据集为 Dry Bean Dataset（干豆数据集），来源于 UCI Machine Learning Repository。该数据集包含 7 种不同类型的干豆的形态学特征，通过计算机视觉系统从干豆图像中提取。数据集的原始特征包括面积（Area）、周长（Perimeter）、长轴长度（MajorAxisLength）、短轴长度（MinorAxisLength）、纵横比（AspectRation）、离心率（Eccentricity）、凸面积（ConvexArea）、等效直径（EquivDiameter）、延展度（Extent）、坚实度（Solidity）、圆度（roundness）、紧凑度（Compactness）和四个形状因子（ShapeFactor1-4），共计 16 个数值型特征。</w:t>
      </w:r>
    </w:p>
    <w:p w14:paraId="61B4DB46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教师已将数据集预先划分为训练集（Train）、测试集（Test）和验证集（Val）三个子集，具体样本量如下表所示：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2080"/>
        <w:gridCol w:w="2080"/>
        <w:gridCol w:w="2080"/>
      </w:tblGrid>
      <w:tr w14:paraId="459B5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421E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数据集</w:t>
            </w:r>
          </w:p>
        </w:tc>
        <w:tc>
          <w:tcPr>
            <w:tcW w:w="20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23B2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样本量</w:t>
            </w:r>
          </w:p>
        </w:tc>
        <w:tc>
          <w:tcPr>
            <w:tcW w:w="20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763F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特征数</w:t>
            </w:r>
          </w:p>
        </w:tc>
        <w:tc>
          <w:tcPr>
            <w:tcW w:w="20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957B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类别数</w:t>
            </w:r>
          </w:p>
        </w:tc>
      </w:tr>
      <w:tr w14:paraId="30417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66965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训练集 (Train)</w:t>
            </w:r>
          </w:p>
        </w:tc>
        <w:tc>
          <w:tcPr>
            <w:tcW w:w="20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09F7A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9,527</w:t>
            </w:r>
          </w:p>
        </w:tc>
        <w:tc>
          <w:tcPr>
            <w:tcW w:w="20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94168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16</w:t>
            </w:r>
          </w:p>
        </w:tc>
        <w:tc>
          <w:tcPr>
            <w:tcW w:w="20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8CC25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25（原始）</w:t>
            </w:r>
          </w:p>
        </w:tc>
      </w:tr>
      <w:tr w14:paraId="50487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3BD1A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测试集 (Test)</w:t>
            </w:r>
          </w:p>
        </w:tc>
        <w:tc>
          <w:tcPr>
            <w:tcW w:w="20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5386D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2,737</w:t>
            </w:r>
          </w:p>
        </w:tc>
        <w:tc>
          <w:tcPr>
            <w:tcW w:w="20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0AACD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16</w:t>
            </w:r>
          </w:p>
        </w:tc>
        <w:tc>
          <w:tcPr>
            <w:tcW w:w="20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56520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24（原始）</w:t>
            </w:r>
          </w:p>
        </w:tc>
      </w:tr>
      <w:tr w14:paraId="6717C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EE213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验证集 (Val)</w:t>
            </w:r>
          </w:p>
        </w:tc>
        <w:tc>
          <w:tcPr>
            <w:tcW w:w="20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361D3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1,347</w:t>
            </w:r>
          </w:p>
        </w:tc>
        <w:tc>
          <w:tcPr>
            <w:tcW w:w="20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4ADBA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16</w:t>
            </w:r>
          </w:p>
        </w:tc>
        <w:tc>
          <w:tcPr>
            <w:tcW w:w="20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F3546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24（原始）</w:t>
            </w:r>
          </w:p>
        </w:tc>
      </w:tr>
    </w:tbl>
    <w:p w14:paraId="196BF41A">
      <w:pPr>
        <w:spacing w:after="100"/>
      </w:pPr>
    </w:p>
    <w:p w14:paraId="04D27790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数据集的目标类别为 7 种干豆：DERMASON（Dermason豆）、SIRA（Sira豆）、SEKER（Seker豆）、HOROZ（Horoz豆）、CALI（Cali豆）、BARBUNYA（Barbunya豆）和 BOMBAY（Bombay豆）。类别分布存在一定程度的不均衡，DERMASON 类最多，BOMBAY 类最少。</w:t>
      </w:r>
    </w:p>
    <w:p w14:paraId="01501F3C">
      <w:pPr>
        <w:spacing w:before="120" w:after="40"/>
        <w:jc w:val="center"/>
      </w:pPr>
      <w:r>
        <w:drawing>
          <wp:inline distT="0" distB="0" distL="0" distR="0">
            <wp:extent cx="4191000" cy="2095500"/>
            <wp:effectExtent l="0" t="0" r="0" b="0"/>
            <wp:docPr id="1" name="fig" descr="图1-1 训练集原始类别分布柱状图" title="图1-1 训练集原始类别分布柱状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" descr="图1-1 训练集原始类别分布柱状图" title="图1-1 训练集原始类别分布柱状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5D7EA">
      <w:pPr>
        <w:spacing w:after="120"/>
        <w:jc w:val="center"/>
      </w:pPr>
      <w:r>
        <w:rPr>
          <w:rFonts w:ascii="微软雅黑" w:hAnsi="微软雅黑" w:eastAsia="微软雅黑" w:cs="微软雅黑"/>
          <w:i/>
          <w:iCs/>
          <w:color w:val="555555"/>
          <w:sz w:val="18"/>
          <w:szCs w:val="18"/>
        </w:rPr>
        <w:t>图1-1 训练集原始类别分布柱状图</w:t>
      </w:r>
    </w:p>
    <w:p w14:paraId="54AE4577">
      <w:pPr>
        <w:spacing w:before="120" w:after="40"/>
        <w:jc w:val="center"/>
      </w:pPr>
      <w:r>
        <w:drawing>
          <wp:inline distT="0" distB="0" distL="0" distR="0">
            <wp:extent cx="4762500" cy="3810000"/>
            <wp:effectExtent l="0" t="0" r="0" b="0"/>
            <wp:docPr id="2" name="fig" descr="图1-2 各特征在各类别下的分布直方图" title="图1-2 各特征在各类别下的分布直方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" descr="图1-2 各特征在各类别下的分布直方图" title="图1-2 各特征在各类别下的分布直方图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F7B2B">
      <w:pPr>
        <w:spacing w:after="120"/>
        <w:jc w:val="center"/>
      </w:pPr>
      <w:r>
        <w:rPr>
          <w:rFonts w:ascii="微软雅黑" w:hAnsi="微软雅黑" w:eastAsia="微软雅黑" w:cs="微软雅黑"/>
          <w:i/>
          <w:iCs/>
          <w:color w:val="555555"/>
          <w:sz w:val="18"/>
          <w:szCs w:val="18"/>
        </w:rPr>
        <w:t>图1-2 各特征在各类别下的分布直方图</w:t>
      </w:r>
    </w:p>
    <w:p w14:paraId="6DE472A1">
      <w:pPr>
        <w:spacing w:before="120" w:after="40"/>
        <w:jc w:val="center"/>
      </w:pPr>
      <w:r>
        <w:drawing>
          <wp:inline distT="0" distB="0" distL="0" distR="0">
            <wp:extent cx="4191000" cy="3619500"/>
            <wp:effectExtent l="0" t="0" r="0" b="0"/>
            <wp:docPr id="3" name="fig" descr="图1-3 特征相关性热力图" title="图1-3 特征相关性热力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" descr="图1-3 特征相关性热力图" title="图1-3 特征相关性热力图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7C50C">
      <w:pPr>
        <w:spacing w:after="120"/>
        <w:jc w:val="center"/>
      </w:pPr>
      <w:r>
        <w:rPr>
          <w:rFonts w:ascii="微软雅黑" w:hAnsi="微软雅黑" w:eastAsia="微软雅黑" w:cs="微软雅黑"/>
          <w:i/>
          <w:iCs/>
          <w:color w:val="555555"/>
          <w:sz w:val="18"/>
          <w:szCs w:val="18"/>
        </w:rPr>
        <w:t>图1-3 特征相关性热力图</w:t>
      </w:r>
    </w:p>
    <w:p w14:paraId="4C588AC9">
      <w:pPr>
        <w:pStyle w:val="3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1.2  数据污染分析</w:t>
      </w:r>
    </w:p>
    <w:p w14:paraId="4068DCEE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教师提供的数据为"脏数据"版本（Dirty Version），包含多种类型的数据污染，需要仔细分析后才能进行后续的清洗工作。经过详细的数据探查，发现了以下三类主要的污染问题：</w:t>
      </w:r>
    </w:p>
    <w:p w14:paraId="0DC81D9D">
      <w:pPr>
        <w:pStyle w:val="4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1.2.1  缺失值</w:t>
      </w:r>
    </w:p>
    <w:p w14:paraId="2D0B7E0C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数据集中存在两种类型的缺失值：标准缺失值（NaN）和以特殊符号"?"标记的缺失值。具体而言，Perimeter（周长）和 Solidity（坚实度）两个字段存在缺失。在训练集中，Perimeter 有 469 个缺失值（占比约 4.9%），Solidity 有 474 个缺失值（含 202 个"?"标记，占比约 5.0%）。测试集和验证集中也存在类似比例的缺失值。</w:t>
      </w:r>
    </w:p>
    <w:p w14:paraId="0D9B9674">
      <w:pPr>
        <w:spacing w:before="120" w:after="40"/>
        <w:jc w:val="center"/>
      </w:pPr>
      <w:r>
        <w:drawing>
          <wp:inline distT="0" distB="0" distL="0" distR="0">
            <wp:extent cx="4762500" cy="762000"/>
            <wp:effectExtent l="0" t="0" r="0" b="0"/>
            <wp:docPr id="4" name="fig" descr="图1-4 训练集缺失值热力图（红色为缺失）" title="图1-4 训练集缺失值热力图（红色为缺失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" descr="图1-4 训练集缺失值热力图（红色为缺失）" title="图1-4 训练集缺失值热力图（红色为缺失）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BBF07">
      <w:pPr>
        <w:spacing w:after="120"/>
        <w:jc w:val="center"/>
      </w:pPr>
      <w:r>
        <w:rPr>
          <w:rFonts w:ascii="微软雅黑" w:hAnsi="微软雅黑" w:eastAsia="微软雅黑" w:cs="微软雅黑"/>
          <w:i/>
          <w:iCs/>
          <w:color w:val="555555"/>
          <w:sz w:val="18"/>
          <w:szCs w:val="18"/>
        </w:rPr>
        <w:t>图1-4 训练集缺失值热力图（红色为缺失）</w:t>
      </w:r>
    </w:p>
    <w:p w14:paraId="478EB56D">
      <w:pPr>
        <w:pStyle w:val="4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1.2.2  标签噪声</w:t>
      </w:r>
    </w:p>
    <w:p w14:paraId="12062105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原始数据集中类别标签（Class字段）存在严重的质量问题。清洗前共有25种不同的标签值，而实际应有7种。标签噪声的具体表现形式包括：</w:t>
      </w:r>
    </w:p>
    <w:p w14:paraId="64C83ECB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（1）拼写错误：如 D3RMAS0N（应为 DERMASON）、S3K3R（应为 SEKER）、H0R0Z（应为 HOROZ）、B0MBAY（应为 BOMBAY），其中数字 0 替换了字母 O，数字 3 替换了字母 E。这些拼写变体共涉及约 116 个训练样本。</w:t>
      </w:r>
    </w:p>
    <w:p w14:paraId="484D5BD7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（2）大小写混乱：存在以小写字母书写的标签，如 dermason、sira、horoz、cali、seker、barbunya、bombay，共涉及约 213 个训练样本。</w:t>
      </w:r>
    </w:p>
    <w:p w14:paraId="6CC17683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（3）尾部空格：部分标签末尾包含了多余的空格字符，如"DERMASON "、"SIRA "、"HOROZ "等，共涉及约 93 个训练样本。</w:t>
      </w:r>
    </w:p>
    <w:p w14:paraId="679E53F9">
      <w:pPr>
        <w:pStyle w:val="4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1.2.3  数值数据中的非数值内容</w:t>
      </w:r>
    </w:p>
    <w:p w14:paraId="611C898A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Compactness（紧凑度）字段中存在 258 个包含单位后缀"cm"的值（如"0.9293 cm"），导致该列被 pandas 识别为字符串类型而非数值类型。根据数据集文档，Compactness 应为无量纲比值，"cm"标记属于数据采集过程中的标注错误，需要去除单位并转换为数值。</w:t>
      </w:r>
    </w:p>
    <w:p w14:paraId="17925CCD">
      <w:pPr>
        <w:pageBreakBefore/>
      </w:pPr>
    </w:p>
    <w:p w14:paraId="664F3D01">
      <w:pPr>
        <w:pStyle w:val="2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第二章  数据处理</w:t>
      </w:r>
    </w:p>
    <w:p w14:paraId="045E6D55">
      <w:pPr>
        <w:pStyle w:val="3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2.1  标签清洗</w:t>
      </w:r>
    </w:p>
    <w:p w14:paraId="14BD2F18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标签清洗采用三步流水线处理，确保所有标签统一到标准的7类别系统：</w:t>
      </w:r>
    </w:p>
    <w:p w14:paraId="0C5DAAB4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第一步：去除首尾空格。使用 Python 的 str.strip() 方法，消除尾部空格和首部空格对标签匹配的干扰。</w:t>
      </w:r>
    </w:p>
    <w:p w14:paraId="0D68833F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第二步：统一转换为大写。使用 str.upper() 将所有标签统一为大写格式，消除大小写混乱问题。</w:t>
      </w:r>
    </w:p>
    <w:p w14:paraId="1F637C51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第三步：拼写错误纠正。建立错误标签到正确标签的映射字典（D3RMAS0N→DERMASON, S3K3R→SEKER, H0R0Z→HOROZ, B0MBAY→BOMBAY），使用该映射对标签进行批量替换。</w:t>
      </w:r>
    </w:p>
    <w:p w14:paraId="6AED7EC0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清洗完成后，标签类别从原始的 25 种降至标准的 7 种，各类别在训练集中的分布为：DERMASON(2503)、SIRA(1837)、SEKER(1408)、HOROZ(1340)、CALI(1151)、BARBUNYA(927)、BOMBAY(361)。</w:t>
      </w:r>
    </w:p>
    <w:p w14:paraId="12ED3375">
      <w:pPr>
        <w:pStyle w:val="3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2.2  缺失值处理</w:t>
      </w:r>
    </w:p>
    <w:p w14:paraId="2411CD5B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缺失值处理分为两个步骤。首先，在数据加载阶段将"?"标记统一读取为标准的 NaN 值（通过 pandas.read_csv 的 na_values 参数）。然后，对 Perimeter 和 Solidity 两列的缺失值采用按类别分组的中位数填充策略：</w:t>
      </w:r>
    </w:p>
    <w:p w14:paraId="7B97471F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相比于全局中位数填充，按类别分组填充保留了类内数据的统计特性，避免了不同类别之间的数据混淆。具体实现为：对每个样本，使用其所属类别的中位数填充缺失值；若该类别未能提供有效中位数（所有样本均缺失），则回退到全局中位数。</w:t>
      </w:r>
    </w:p>
    <w:p w14:paraId="6973F981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对于测试集和验证集，采用相同的策略进行独立填充，避免使用训练集的信息导致数据泄露。</w:t>
      </w:r>
    </w:p>
    <w:p w14:paraId="55396528">
      <w:pPr>
        <w:pStyle w:val="3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2.3  数值清理</w:t>
      </w:r>
    </w:p>
    <w:p w14:paraId="4DF4867C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针对 Compactness 列中的单位后缀问题，设计正则表达式去除常见的单位标记（cm、mm、px、in等）：str.replace(r"\s*(cm|mm|px|in)$", "", regex=True)，然后使用 pd.to_numeric() 将所有列强制转换为数值类型，无法转换的值自动变为 NaN 并由缺失值填充步骤统一处理。</w:t>
      </w:r>
    </w:p>
    <w:p w14:paraId="130FA1D3">
      <w:pPr>
        <w:pStyle w:val="3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2.4  特征标准化</w:t>
      </w:r>
    </w:p>
    <w:p w14:paraId="42348333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由于不同特征的量纲差异较大（如 Area 范围 10000~300000，而 roundness 范围 0~1），直接使用这些特征进行模型训练可能导致梯度下降过程不稳定，或者基于距离的算法（如 KNN、SVM）被大数值特征主导。</w:t>
      </w:r>
    </w:p>
    <w:p w14:paraId="653A5D44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因此，使用 sklearn 的 StandardScaler 对所有特征进行 Z-score 标准化（均值为 0，方差为 1）。标准化器仅在训练集上拟合（fit），然后对测试集和验证集使用相同的参数进行变换（transform），确保三个数据集的特征空间一致。</w:t>
      </w:r>
    </w:p>
    <w:p w14:paraId="76B36F8F">
      <w:pPr>
        <w:spacing w:after="10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19D2E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328D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处理步骤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EF3F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A0D6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效果</w:t>
            </w:r>
          </w:p>
        </w:tc>
      </w:tr>
      <w:tr w14:paraId="64250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31701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标签清洗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A81BE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去空格+大写+纠错映射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942FE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25种→7种标准标签</w:t>
            </w:r>
          </w:p>
        </w:tc>
      </w:tr>
      <w:tr w14:paraId="3A27F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0E7BD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缺失值填充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0087E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按类别分组中位数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D47DA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消除所有缺失值</w:t>
            </w:r>
          </w:p>
        </w:tc>
      </w:tr>
      <w:tr w14:paraId="18D7E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869AA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数值清理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E4E70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正则去单位+数值转换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BB1FF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Compactness恢复为数值</w:t>
            </w:r>
          </w:p>
        </w:tc>
      </w:tr>
      <w:tr w14:paraId="43190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BBE39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特征标准化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6D2BA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StandardScaler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F0758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均值0、方差1</w:t>
            </w:r>
          </w:p>
        </w:tc>
      </w:tr>
    </w:tbl>
    <w:p w14:paraId="77A0D463">
      <w:pPr>
        <w:spacing w:after="60"/>
      </w:pPr>
    </w:p>
    <w:p w14:paraId="08269723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表2-1 数据处理流水线总结</w:t>
      </w:r>
    </w:p>
    <w:p w14:paraId="2B35CB3D">
      <w:pPr>
        <w:pageBreakBefore/>
      </w:pPr>
    </w:p>
    <w:p w14:paraId="10EA97AC">
      <w:pPr>
        <w:pStyle w:val="2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第三章  多算法实验分析</w:t>
      </w:r>
    </w:p>
    <w:p w14:paraId="551D4253">
      <w:pPr>
        <w:pStyle w:val="3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3.1  算法介绍</w:t>
      </w:r>
    </w:p>
    <w:p w14:paraId="2E2FDE2B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本实验共实现并对比了 5 种多分类算法，其中 4 种为课堂上学习过的算法（KNN、逻辑回归、SVM、ANN），1 种为课外自学算法（XGBoost）。特别地，ANN（人工神经网络）按照课程要求从零手写实现，包含前向传播和反向传播算法，未使用任何深度学习框架。</w:t>
      </w:r>
    </w:p>
    <w:p w14:paraId="64353C2E">
      <w:pPr>
        <w:pStyle w:val="4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3.1.1  KNN（K近邻分类器）</w:t>
      </w:r>
    </w:p>
    <w:p w14:paraId="1D462FBD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KNN 是一种基于距离度量的非参数分类算法，课内算法。通过计算测试样本与所有训练样本之间的距离，选取最近的 K 个邻居进行多数投票。本实验设置 K=5，采用欧氏距离。KNN 无需训练过程，但在推理时需要计算与所有训练样本的距离，因此随着数据量增大推理时间显著增加。</w:t>
      </w:r>
    </w:p>
    <w:p w14:paraId="2DC9981F">
      <w:pPr>
        <w:pStyle w:val="4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3.1.2  Logistic Regression（逻辑回归）</w:t>
      </w:r>
    </w:p>
    <w:p w14:paraId="0B333915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逻辑回归是一种经典的线性分类模型，课内算法。通过 softmax 函数将线性预测值映射为多类概率分布。本实验使用 sklearn 的 LogisticRegression，采用 multinomial 多分类模式、lbfgs 求解器，最大迭代次数设为 5000。由于使用 L2 正则化，模型具有较好的泛化能力。</w:t>
      </w:r>
    </w:p>
    <w:p w14:paraId="0DA869BF">
      <w:pPr>
        <w:pStyle w:val="4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3.1.3  SVM（支持向量机）</w:t>
      </w:r>
    </w:p>
    <w:p w14:paraId="02EE6D73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SVM 通过寻找最大化分类间隔的超平面来进行分类，课内算法。本实验使用 sklearn 的 SVC，采用 RBF（径向基函数）核，支持概率输出（probability=True）。RBF 核使得 SVM 能够处理非线性可分问题，但由于需要对每对样本计算核函数，推理速度较慢。</w:t>
      </w:r>
    </w:p>
    <w:p w14:paraId="66ABE8CB">
      <w:pPr>
        <w:pStyle w:val="4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3.1.4  Hand-written ANN（手写人工神经网络）</w:t>
      </w:r>
    </w:p>
    <w:p w14:paraId="741331B1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ANN 是本课程重点学习的内容，按照课堂要求"手写ANN（前向+BP）"，从零实现了一个多层感知机（MLP），完全基于 NumPy 编写，未使用 PyTorch、TensorFlow 等任何深度学习框架。</w:t>
      </w:r>
    </w:p>
    <w:p w14:paraId="410E06BD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网络结构：输入层（16个神经元，对应16个特征）→ 隐藏层1（128个神经元，ReLU激活）→ 隐藏层2（64个神经元，ReLU激活）→ 输出层（7个神经元，Softmax激活）。</w:t>
      </w:r>
    </w:p>
    <w:p w14:paraId="7F9F67CF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核心实现包括以下组件：</w:t>
      </w:r>
    </w:p>
    <w:p w14:paraId="05D5DD3D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（1）权重初始化：采用 He 初始化策略 W ~ N(0, sqrt(2/n_in))，有效缓解深层网络的梯度消失问题。</w:t>
      </w:r>
    </w:p>
    <w:p w14:paraId="0690BBE8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（2）前向传播（Forward Propagation）：逐层计算 Z = W·A_prev + b，然后通过 ReLU 激活函数 A = max(0, Z)，最后通过 Softmax 函数将输出归一化为概率分布：softmax(z_i) = exp(z_i) / Σexp(z_j)。</w:t>
      </w:r>
    </w:p>
    <w:p w14:paraId="3A78EEA2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（3）损失函数：多分类交叉熵损失 L = -(1/m)·ΣΣ y_ij · log(p_ij)。</w:t>
      </w:r>
    </w:p>
    <w:p w14:paraId="3DD5D8A2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（4）反向传播（Backpropagation）：从输出层开始逐层计算梯度——输出层梯度 ∂L/∂Z = (y_pred - y_true)/m，隐藏层梯度通过链式法则传播，ReLU 的导数为 ∂ReLU/∂Z = 1(Z &gt; 0)。</w:t>
      </w:r>
    </w:p>
    <w:p w14:paraId="08CDD1F1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（5）参数更新：采用 Mini-batch 梯度下降，batch_size=64，learning_rate=0.01，epochs=100。</w:t>
      </w:r>
    </w:p>
    <w:p w14:paraId="6D9076A1">
      <w:pPr>
        <w:pStyle w:val="4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3.1.5  XGBoost（极端梯度提升）⭐课外算法</w:t>
      </w:r>
    </w:p>
    <w:p w14:paraId="53337901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XGBoost（eXtreme Gradient Boosting）是一种基于梯度提升框架的集成学习算法，为本次实验的课外自学算法，课堂上未讲授。XGBoost 通过逐步添加决策树来优化目标函数，每棵新树拟合前一步的残差。相比于传统的梯度提升方法，XGBoost 引入了以下关键改进：</w:t>
      </w:r>
    </w:p>
    <w:p w14:paraId="5D16A27E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（1）正则化目标函数：在损失函数中同时加入 L1 和 L2 正则项，有效控制模型复杂度，抑制过拟合。</w:t>
      </w:r>
    </w:p>
    <w:p w14:paraId="4BAB4386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（2）二阶泰勒展开：利用损失函数的二阶导数信息，比传统 GBDT 仅使用一阶导数能更精确地逼近最优解。</w:t>
      </w:r>
    </w:p>
    <w:p w14:paraId="6A9B3DCE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（3）列采样和缩减（Shrinkage）：类似随机森林的列采样策略增加基学习器的多样性，通过学习率缩减每棵树的贡献防止过拟合。</w:t>
      </w:r>
    </w:p>
    <w:p w14:paraId="6973C887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（4）并行化计算：在特征粒度上对分裂点查找进行并行化，显著提升训练效率。</w:t>
      </w:r>
    </w:p>
    <w:p w14:paraId="16254B8C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本实验使用 xgboost 库的 XGBClassifier，设置 n_estimators=200、max_depth=6、learning_rate=0.1，并启用 early_stopping（20轮无改善即停止），防止过拟合。</w:t>
      </w:r>
    </w:p>
    <w:p w14:paraId="7979E9C2">
      <w:pPr>
        <w:pStyle w:val="3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3.2  测试集精度对比</w:t>
      </w:r>
    </w:p>
    <w:p w14:paraId="3C538A91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在统一的数据预处理流水线后，各算法在测试集上的精度表现如下表所示：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8"/>
        <w:gridCol w:w="1396"/>
        <w:gridCol w:w="1476"/>
        <w:gridCol w:w="1397"/>
        <w:gridCol w:w="1399"/>
        <w:gridCol w:w="1384"/>
      </w:tblGrid>
      <w:tr w14:paraId="4F576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59B8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算法</w:t>
            </w:r>
          </w:p>
        </w:tc>
        <w:tc>
          <w:tcPr>
            <w:tcW w:w="140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6AB8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Accuracy</w:t>
            </w:r>
          </w:p>
        </w:tc>
        <w:tc>
          <w:tcPr>
            <w:tcW w:w="140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F217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Precision(M)</w:t>
            </w:r>
          </w:p>
        </w:tc>
        <w:tc>
          <w:tcPr>
            <w:tcW w:w="140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D312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Recall(M)</w:t>
            </w:r>
          </w:p>
        </w:tc>
        <w:tc>
          <w:tcPr>
            <w:tcW w:w="140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1277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F1(Macro)</w:t>
            </w:r>
          </w:p>
        </w:tc>
        <w:tc>
          <w:tcPr>
            <w:tcW w:w="140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C0B2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训练时间</w:t>
            </w:r>
          </w:p>
        </w:tc>
      </w:tr>
      <w:tr w14:paraId="26B2C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5A9F9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KNN</w:t>
            </w:r>
          </w:p>
        </w:tc>
        <w:tc>
          <w:tcPr>
            <w:tcW w:w="140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9D183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0.9204</w:t>
            </w:r>
          </w:p>
        </w:tc>
        <w:tc>
          <w:tcPr>
            <w:tcW w:w="140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EF980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0.9328</w:t>
            </w:r>
          </w:p>
        </w:tc>
        <w:tc>
          <w:tcPr>
            <w:tcW w:w="140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07E1F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0.9261</w:t>
            </w:r>
          </w:p>
        </w:tc>
        <w:tc>
          <w:tcPr>
            <w:tcW w:w="140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1D03F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0.9293</w:t>
            </w:r>
          </w:p>
        </w:tc>
        <w:tc>
          <w:tcPr>
            <w:tcW w:w="140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8089F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0.02s</w:t>
            </w:r>
          </w:p>
        </w:tc>
      </w:tr>
      <w:tr w14:paraId="1FE94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D3714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Logistic Regression</w:t>
            </w:r>
          </w:p>
        </w:tc>
        <w:tc>
          <w:tcPr>
            <w:tcW w:w="140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448C1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0.9214</w:t>
            </w:r>
          </w:p>
        </w:tc>
        <w:tc>
          <w:tcPr>
            <w:tcW w:w="140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0105C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0.9339</w:t>
            </w:r>
          </w:p>
        </w:tc>
        <w:tc>
          <w:tcPr>
            <w:tcW w:w="140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2FCA5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0.9292</w:t>
            </w:r>
          </w:p>
        </w:tc>
        <w:tc>
          <w:tcPr>
            <w:tcW w:w="140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D79B5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0.9312</w:t>
            </w:r>
          </w:p>
        </w:tc>
        <w:tc>
          <w:tcPr>
            <w:tcW w:w="140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A1479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1.68s</w:t>
            </w:r>
          </w:p>
        </w:tc>
      </w:tr>
      <w:tr w14:paraId="5999A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C2978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SVM</w:t>
            </w:r>
          </w:p>
        </w:tc>
        <w:tc>
          <w:tcPr>
            <w:tcW w:w="140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26488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0.9309</w:t>
            </w:r>
          </w:p>
        </w:tc>
        <w:tc>
          <w:tcPr>
            <w:tcW w:w="140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DC88C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0.9416</w:t>
            </w:r>
          </w:p>
        </w:tc>
        <w:tc>
          <w:tcPr>
            <w:tcW w:w="140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CF967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0.9364</w:t>
            </w:r>
          </w:p>
        </w:tc>
        <w:tc>
          <w:tcPr>
            <w:tcW w:w="140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3F801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0.9390</w:t>
            </w:r>
          </w:p>
        </w:tc>
        <w:tc>
          <w:tcPr>
            <w:tcW w:w="140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03417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1.45s</w:t>
            </w:r>
          </w:p>
        </w:tc>
      </w:tr>
      <w:tr w14:paraId="058DB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D5E10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Hand-written ANN</w:t>
            </w:r>
          </w:p>
        </w:tc>
        <w:tc>
          <w:tcPr>
            <w:tcW w:w="140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0149A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0.9295</w:t>
            </w:r>
          </w:p>
        </w:tc>
        <w:tc>
          <w:tcPr>
            <w:tcW w:w="140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18B04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0.9386</w:t>
            </w:r>
          </w:p>
        </w:tc>
        <w:tc>
          <w:tcPr>
            <w:tcW w:w="140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4C606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0.9363</w:t>
            </w:r>
          </w:p>
        </w:tc>
        <w:tc>
          <w:tcPr>
            <w:tcW w:w="140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BF27D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0.9373</w:t>
            </w:r>
          </w:p>
        </w:tc>
        <w:tc>
          <w:tcPr>
            <w:tcW w:w="140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E1831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3.91s</w:t>
            </w:r>
          </w:p>
        </w:tc>
      </w:tr>
      <w:tr w14:paraId="45D5D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AFB4B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XGBoost (课外)</w:t>
            </w:r>
          </w:p>
        </w:tc>
        <w:tc>
          <w:tcPr>
            <w:tcW w:w="140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2F765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0.9317</w:t>
            </w:r>
          </w:p>
        </w:tc>
        <w:tc>
          <w:tcPr>
            <w:tcW w:w="140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11360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0.9424</w:t>
            </w:r>
          </w:p>
        </w:tc>
        <w:tc>
          <w:tcPr>
            <w:tcW w:w="140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ED98F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0.9408</w:t>
            </w:r>
          </w:p>
        </w:tc>
        <w:tc>
          <w:tcPr>
            <w:tcW w:w="140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B33FA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0.9416</w:t>
            </w:r>
          </w:p>
        </w:tc>
        <w:tc>
          <w:tcPr>
            <w:tcW w:w="140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CE9F0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0.75s</w:t>
            </w:r>
          </w:p>
        </w:tc>
      </w:tr>
    </w:tbl>
    <w:p w14:paraId="26A1BE7E">
      <w:pPr>
        <w:spacing w:after="60"/>
      </w:pPr>
    </w:p>
    <w:p w14:paraId="50CF8D4B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表3-1 五种算法的测试集精度对比（Macro-averaged metrics）</w:t>
      </w:r>
    </w:p>
    <w:p w14:paraId="169FB211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从测试集精度来看，XGBoost 以 93.17% 的准确率和 0.9416 的 F1-Macro 得分取得最优表现，紧随其后的是 SVM（92.09%）和手写 ANN（92.95%）。值得注意的是，手写 ANN 的精度与 sklearn 内置的 SVM 非常接近（仅相差 0.14%），说明手写实现的正确性和有效性。KNN 和逻辑回归分别以 92.04% 和 92.14% 的准确率位列末尾，但仍然是非常有竞争力的结果。</w:t>
      </w:r>
    </w:p>
    <w:p w14:paraId="4F0C3BE0">
      <w:pPr>
        <w:spacing w:before="120" w:after="40"/>
        <w:jc w:val="center"/>
      </w:pPr>
      <w:r>
        <w:drawing>
          <wp:inline distT="0" distB="0" distL="0" distR="0">
            <wp:extent cx="4000500" cy="2000250"/>
            <wp:effectExtent l="0" t="0" r="0" b="0"/>
            <wp:docPr id="5" name="fig" descr="图3-1 测试集精度对比柱状图" title="图3-1 测试集精度对比柱状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" descr="图3-1 测试集精度对比柱状图" title="图3-1 测试集精度对比柱状图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C863D">
      <w:pPr>
        <w:spacing w:after="120"/>
        <w:jc w:val="center"/>
      </w:pPr>
      <w:r>
        <w:rPr>
          <w:rFonts w:ascii="微软雅黑" w:hAnsi="微软雅黑" w:eastAsia="微软雅黑" w:cs="微软雅黑"/>
          <w:i/>
          <w:iCs/>
          <w:color w:val="555555"/>
          <w:sz w:val="18"/>
          <w:szCs w:val="18"/>
        </w:rPr>
        <w:t>图3-1 测试集精度对比柱状图</w:t>
      </w:r>
    </w:p>
    <w:p w14:paraId="0410623C">
      <w:pPr>
        <w:spacing w:before="120" w:after="40"/>
        <w:jc w:val="center"/>
      </w:pPr>
      <w:r>
        <w:drawing>
          <wp:inline distT="0" distB="0" distL="0" distR="0">
            <wp:extent cx="4191000" cy="3810000"/>
            <wp:effectExtent l="0" t="0" r="0" b="0"/>
            <wp:docPr id="6" name="fig" descr="图3-2 各算法混淆矩阵对比" title="图3-2 各算法混淆矩阵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" descr="图3-2 各算法混淆矩阵对比" title="图3-2 各算法混淆矩阵对比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E42B4">
      <w:pPr>
        <w:spacing w:after="120"/>
        <w:jc w:val="center"/>
      </w:pPr>
      <w:r>
        <w:rPr>
          <w:rFonts w:ascii="微软雅黑" w:hAnsi="微软雅黑" w:eastAsia="微软雅黑" w:cs="微软雅黑"/>
          <w:i/>
          <w:iCs/>
          <w:color w:val="555555"/>
          <w:sz w:val="18"/>
          <w:szCs w:val="18"/>
        </w:rPr>
        <w:t>图3-2 各算法混淆矩阵对比</w:t>
      </w:r>
    </w:p>
    <w:p w14:paraId="4EA0358E">
      <w:pPr>
        <w:pStyle w:val="3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3.3  Loss曲线对比</w:t>
      </w:r>
    </w:p>
    <w:p w14:paraId="321C4291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Logistic Regression 和 XGBoost 为迭代训练型算法，记录了训练过程中的损失函数（Loss）变化。Logistic Regression 使用对数损失（Log Loss），XGBoost 使用多分类对数损失（mlogloss）。KNN 为非训练型算法，SVM 和随机森林属于非迭代训练型算法（不产生逐步的 Loss 记录），因此在 Loss 曲线对比中仅展示 LR 和 XGBoost。此外，手写 ANN 记录了每轮训练的交叉熵损失。</w:t>
      </w:r>
    </w:p>
    <w:p w14:paraId="0789E290">
      <w:pPr>
        <w:spacing w:before="120" w:after="40"/>
        <w:jc w:val="center"/>
      </w:pPr>
      <w:r>
        <w:drawing>
          <wp:inline distT="0" distB="0" distL="0" distR="0">
            <wp:extent cx="4286250" cy="1905000"/>
            <wp:effectExtent l="0" t="0" r="0" b="0"/>
            <wp:docPr id="7" name="fig" descr="图3-3 训练Loss曲线对比" title="图3-3 训练Loss曲线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" descr="图3-3 训练Loss曲线对比" title="图3-3 训练Loss曲线对比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574A1">
      <w:pPr>
        <w:spacing w:after="120"/>
        <w:jc w:val="center"/>
      </w:pPr>
      <w:r>
        <w:rPr>
          <w:rFonts w:ascii="微软雅黑" w:hAnsi="微软雅黑" w:eastAsia="微软雅黑" w:cs="微软雅黑"/>
          <w:i/>
          <w:iCs/>
          <w:color w:val="555555"/>
          <w:sz w:val="18"/>
          <w:szCs w:val="18"/>
        </w:rPr>
        <w:t>图3-3 训练Loss曲线对比</w:t>
      </w:r>
    </w:p>
    <w:p w14:paraId="50F7C6E0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从 Loss 曲线可以看出，XGBoost 的 Loss 下降速度最快，在约 20 轮后即趋于稳定（得益于 early stopping 机制）。Logistic Regression 和手写 ANN 的 Loss 平滑下降，均表现出了良好的收敛性。</w:t>
      </w:r>
    </w:p>
    <w:p w14:paraId="3856A596">
      <w:pPr>
        <w:pStyle w:val="3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3.4  推理速度对比</w:t>
      </w:r>
    </w:p>
    <w:p w14:paraId="13EDF6A3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推理速度是评估算法实际部署可行性的重要指标。下表记录了各算法对全部 2737 个测试样本进行推理的总耗时：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05C45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EDAD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算法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3850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总推理时间(ms)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CB75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单样本(ms)</w:t>
            </w:r>
          </w:p>
        </w:tc>
      </w:tr>
      <w:tr w14:paraId="5A106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739FB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KNN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4E88F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60.80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58E34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0.0222</w:t>
            </w:r>
          </w:p>
        </w:tc>
      </w:tr>
      <w:tr w14:paraId="44EEE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30FA3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Logistic Regression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FBEC0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~0.00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3912A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~0.0000</w:t>
            </w:r>
          </w:p>
        </w:tc>
      </w:tr>
      <w:tr w14:paraId="4A477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9FFD3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SVM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CBD0C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234.73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CB856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0.0858</w:t>
            </w:r>
          </w:p>
        </w:tc>
      </w:tr>
      <w:tr w14:paraId="5CD91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EEBF0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Hand-written ANN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D24D1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~0.00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5F4F7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~0.0000</w:t>
            </w:r>
          </w:p>
        </w:tc>
      </w:tr>
      <w:tr w14:paraId="308F2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EB8AB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XGBoost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FF64B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4.02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CCDDD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0.0015</w:t>
            </w:r>
          </w:p>
        </w:tc>
      </w:tr>
    </w:tbl>
    <w:p w14:paraId="14676EED">
      <w:pPr>
        <w:spacing w:after="60"/>
      </w:pPr>
    </w:p>
    <w:p w14:paraId="6C16EB39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表3-2 推理速度对比</w:t>
      </w:r>
    </w:p>
    <w:p w14:paraId="6D1CE573">
      <w:pPr>
        <w:spacing w:before="120" w:after="40"/>
        <w:jc w:val="center"/>
      </w:pPr>
      <w:r>
        <w:drawing>
          <wp:inline distT="0" distB="0" distL="0" distR="0">
            <wp:extent cx="4000500" cy="2000250"/>
            <wp:effectExtent l="0" t="0" r="0" b="0"/>
            <wp:docPr id="8" name="fig" descr="图3-4 推理速度对比柱状图" title="图3-4 推理速度对比柱状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" descr="图3-4 推理速度对比柱状图" title="图3-4 推理速度对比柱状图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D3361">
      <w:pPr>
        <w:spacing w:after="120"/>
        <w:jc w:val="center"/>
      </w:pPr>
      <w:r>
        <w:rPr>
          <w:rFonts w:ascii="微软雅黑" w:hAnsi="微软雅黑" w:eastAsia="微软雅黑" w:cs="微软雅黑"/>
          <w:i/>
          <w:iCs/>
          <w:color w:val="555555"/>
          <w:sz w:val="18"/>
          <w:szCs w:val="18"/>
        </w:rPr>
        <w:t>图3-4 推理速度对比柱状图</w:t>
      </w:r>
    </w:p>
    <w:p w14:paraId="3CF65F66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推理速度差异显著：逻辑回归和手写 ANN 最快（几乎为0ms），因为它们本质上只是矩阵乘法运算。XGBoost 次之（4.02ms），得益于其优化的 C++ 后端。KNN 较慢（60.80ms），因为需要计算与训练集中所有样本的距离。SVM 最慢（234.73ms），RBF 核需要计算每对测试样本与支持向量之间的核函数值。</w:t>
      </w:r>
    </w:p>
    <w:p w14:paraId="26A334E7">
      <w:pPr>
        <w:pStyle w:val="3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3.5  鲁棒性分析</w:t>
      </w:r>
    </w:p>
    <w:p w14:paraId="2234943D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鲁棒性分析通过在测试数据上施加不同类型和强度的噪声，观察各算法精度的退化程度，评估算法在实际应用中面对数据质量下降时的稳定性。本实验测试了三种噪声类型：高斯噪声（模拟传感器误差）、标签噪声（模拟标注错误）和额外缺失值（模拟数据采集不完整）。</w:t>
      </w:r>
    </w:p>
    <w:p w14:paraId="2DC7A078">
      <w:pPr>
        <w:spacing w:before="120" w:after="40"/>
        <w:jc w:val="center"/>
      </w:pPr>
      <w:r>
        <w:drawing>
          <wp:inline distT="0" distB="0" distL="0" distR="0">
            <wp:extent cx="4762500" cy="2667000"/>
            <wp:effectExtent l="0" t="0" r="0" b="0"/>
            <wp:docPr id="9" name="fig" descr="图3-5 鲁棒性对比（高斯噪声、标签噪声、缺失值）" title="图3-5 鲁棒性对比（高斯噪声、标签噪声、缺失值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" descr="图3-5 鲁棒性对比（高斯噪声、标签噪声、缺失值）" title="图3-5 鲁棒性对比（高斯噪声、标签噪声、缺失值）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05B12">
      <w:pPr>
        <w:spacing w:after="120"/>
        <w:jc w:val="center"/>
      </w:pPr>
      <w:r>
        <w:rPr>
          <w:rFonts w:ascii="微软雅黑" w:hAnsi="微软雅黑" w:eastAsia="微软雅黑" w:cs="微软雅黑"/>
          <w:i/>
          <w:iCs/>
          <w:color w:val="555555"/>
          <w:sz w:val="18"/>
          <w:szCs w:val="18"/>
        </w:rPr>
        <w:t>图3-5 鲁棒性对比（高斯噪声、标签噪声、缺失值）</w:t>
      </w:r>
    </w:p>
    <w:p w14:paraId="46ABC9EB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实验结果表明：（1）面对高斯噪声，所有算法均表现出极强的鲁棒性，即使噪声标准差达到 0.1，精度下降也仅约 1%，这是因为特征已被标准化，高斯噪声的扰动相对较小。（2）标签噪声对所有算法的打击最为严重，20% 的标签噪声下平均精度下降约 19 个百分点至 73-74%，这是最致命的数据污染类型。（3）缺失值对算法的影响居中，10% 的额外缺失率导致精度下降 1-4 个百分点，其中逻辑回归受影响最大。</w:t>
      </w:r>
    </w:p>
    <w:p w14:paraId="6AF64933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值得注意的是，XGBoost 在三种噪声类型下均表现出最佳的鲁棒性，这可能得益于其内在的集成学习机制（多棵树的投票平均天然对噪声有抑制作用）。手写 ANN 也表现出不错的鲁棒性，与 SVM 相当。</w:t>
      </w:r>
    </w:p>
    <w:p w14:paraId="11DEF6FF">
      <w:pPr>
        <w:pStyle w:val="3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3.6  过拟合分析</w:t>
      </w:r>
    </w:p>
    <w:p w14:paraId="193ECE7F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过拟合是指模型在训练集上表现良好但在测试集上表现欠佳的现象。通过比较训练集精度和测试集精度的差值（Overfitting Gap）来评估各算法的过拟合程度：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3C2D5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7C9D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算法</w:t>
            </w:r>
          </w:p>
        </w:tc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C8FA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训练集Acc</w:t>
            </w:r>
          </w:p>
        </w:tc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4ED3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测试集Acc</w:t>
            </w:r>
          </w:p>
        </w:tc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6815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过拟合Gap</w:t>
            </w:r>
          </w:p>
        </w:tc>
      </w:tr>
      <w:tr w14:paraId="3D3BA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4E7DB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KNN</w:t>
            </w:r>
          </w:p>
        </w:tc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02E2B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0.9415</w:t>
            </w:r>
          </w:p>
        </w:tc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7A498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0.9204</w:t>
            </w:r>
          </w:p>
        </w:tc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FD3DB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0.0212</w:t>
            </w:r>
          </w:p>
        </w:tc>
      </w:tr>
      <w:tr w14:paraId="73684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90FA2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Logistic Regression</w:t>
            </w:r>
          </w:p>
        </w:tc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E599C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0.9272</w:t>
            </w:r>
          </w:p>
        </w:tc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23912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0.9214</w:t>
            </w:r>
          </w:p>
        </w:tc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EDBA7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0.0057</w:t>
            </w:r>
          </w:p>
        </w:tc>
      </w:tr>
      <w:tr w14:paraId="46289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938BE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SVM</w:t>
            </w:r>
          </w:p>
        </w:tc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4F713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0.9309</w:t>
            </w:r>
          </w:p>
        </w:tc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6BBD9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0.9309</w:t>
            </w:r>
          </w:p>
        </w:tc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D5935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-0.0000</w:t>
            </w:r>
          </w:p>
        </w:tc>
      </w:tr>
      <w:tr w14:paraId="64D31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DA43D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Hand-written ANN</w:t>
            </w:r>
          </w:p>
        </w:tc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445D2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0.9363</w:t>
            </w:r>
          </w:p>
        </w:tc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F133A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0.9295</w:t>
            </w:r>
          </w:p>
        </w:tc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86807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0.0068</w:t>
            </w:r>
          </w:p>
        </w:tc>
      </w:tr>
      <w:tr w14:paraId="3E18A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2D309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XGBoost</w:t>
            </w:r>
          </w:p>
        </w:tc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9255E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0.9758</w:t>
            </w:r>
          </w:p>
        </w:tc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62CA6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0.9317</w:t>
            </w:r>
          </w:p>
        </w:tc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96255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0.0441</w:t>
            </w:r>
          </w:p>
        </w:tc>
      </w:tr>
    </w:tbl>
    <w:p w14:paraId="5A3BFE47">
      <w:pPr>
        <w:spacing w:after="60"/>
      </w:pPr>
    </w:p>
    <w:p w14:paraId="6338E323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表3-3 过拟合分析：训练集与测试集精度对比</w:t>
      </w:r>
    </w:p>
    <w:p w14:paraId="57EBB8D7">
      <w:pPr>
        <w:spacing w:before="120" w:after="40"/>
        <w:jc w:val="center"/>
      </w:pPr>
      <w:r>
        <w:drawing>
          <wp:inline distT="0" distB="0" distL="0" distR="0">
            <wp:extent cx="4000500" cy="2000250"/>
            <wp:effectExtent l="0" t="0" r="0" b="0"/>
            <wp:docPr id="10" name="fig" descr="图3-6 过拟合分析：训练集vs测试集精度" title="图3-6 过拟合分析：训练集vs测试集精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" descr="图3-6 过拟合分析：训练集vs测试集精度" title="图3-6 过拟合分析：训练集vs测试集精度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72D56">
      <w:pPr>
        <w:spacing w:after="120"/>
        <w:jc w:val="center"/>
      </w:pPr>
      <w:r>
        <w:rPr>
          <w:rFonts w:ascii="微软雅黑" w:hAnsi="微软雅黑" w:eastAsia="微软雅黑" w:cs="微软雅黑"/>
          <w:i/>
          <w:iCs/>
          <w:color w:val="555555"/>
          <w:sz w:val="18"/>
          <w:szCs w:val="18"/>
        </w:rPr>
        <w:t>图3-6 过拟合分析：训练集vs测试集精度</w:t>
      </w:r>
    </w:p>
    <w:p w14:paraId="00D0E0A0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分析显示，SVM 和逻辑回归几乎不存在过拟合（Gap ≤ 0.006），手写 ANN 也有非常小的过拟合差距（0.0068），说明经过标准化后这些模型的泛化能力良好。XGBoost 表现出最明显的过拟合倾向（Gap = 0.0441），即训练集精度（97.58%）远高于测试集（93.17%），这是决策树集成方法的典型特征——单棵树的复杂度叠加可能拟合了训练集中的噪声。尽管如此，XGBoost 仍取得了最高的测试集精度，说明这种程度的"过拟合"在可接受范围内。</w:t>
      </w:r>
    </w:p>
    <w:p w14:paraId="5F3549D4">
      <w:pPr>
        <w:pageBreakBefore/>
      </w:pPr>
    </w:p>
    <w:p w14:paraId="75D18AD5">
      <w:pPr>
        <w:pStyle w:val="2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第四章  系统展示</w:t>
      </w:r>
    </w:p>
    <w:p w14:paraId="678A351F">
      <w:pPr>
        <w:pStyle w:val="3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4.1  工程架构</w:t>
      </w:r>
    </w:p>
    <w:p w14:paraId="70ACEA72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本项目按照标准机器学习工程项目的文件夹架构组织，确保代码的模块化、可维护性和可复现性。各个模块职责明确、接口清晰：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1658A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2D6B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模块文件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25B2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功能说明</w:t>
            </w:r>
          </w:p>
        </w:tc>
      </w:tr>
      <w:tr w14:paraId="5066A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67BCF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src/data_loader.py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32603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数据加载：读取CSV，处理编码和特殊值</w:t>
            </w:r>
          </w:p>
        </w:tc>
      </w:tr>
      <w:tr w14:paraId="1FC78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7121A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src/preprocessor.py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A19AD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预处理流水线：标签清洗、缺失值填充、标准化</w:t>
            </w:r>
          </w:p>
        </w:tc>
      </w:tr>
      <w:tr w14:paraId="0EC7A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55645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src/visualizer.py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9741F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可视化：生成所有分析图表(matplotlib+seaborn)</w:t>
            </w:r>
          </w:p>
        </w:tc>
      </w:tr>
      <w:tr w14:paraId="4AABD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74096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src/noise_generator.py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A9B1D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噪声生成：高斯噪声、标签噪声、缺失值注入</w:t>
            </w:r>
          </w:p>
        </w:tc>
      </w:tr>
      <w:tr w14:paraId="18B58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7D398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src/trainer.py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DAE1B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训练调度：统一训练接口、模型持久化</w:t>
            </w:r>
          </w:p>
        </w:tc>
      </w:tr>
      <w:tr w14:paraId="7B6A9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BDB09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src/evaluator.py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86D0E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评估系统：5维度评估（精度/曲线/速度/鲁棒性/过拟合）</w:t>
            </w:r>
          </w:p>
        </w:tc>
      </w:tr>
      <w:tr w14:paraId="2187B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B97CD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src/algorithms/*.py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3BECA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算法模块：KNN/LR/SVM/ANN(手写)/XGBoost(课外)</w:t>
            </w:r>
          </w:p>
        </w:tc>
      </w:tr>
      <w:tr w14:paraId="5AA0D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B6FC5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main.py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F86CB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CLI统一入口：5个子命令控制全流程</w:t>
            </w:r>
          </w:p>
        </w:tc>
      </w:tr>
    </w:tbl>
    <w:p w14:paraId="5ACB37B5">
      <w:pPr>
        <w:spacing w:after="60"/>
      </w:pPr>
    </w:p>
    <w:p w14:paraId="2AEF149E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表4-1 工程模块说明</w:t>
      </w:r>
    </w:p>
    <w:p w14:paraId="0BF059C9">
      <w:pPr>
        <w:pStyle w:val="3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4.2  命令行接口 (CLI)</w:t>
      </w:r>
    </w:p>
    <w:p w14:paraId="168F91A6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本项目设计了统一的命令行接口，通过 main.py 实现对全流程的控制。所有算法运行阶段不显示 UI 界面，仅在命令行输出进度和结果，符合课程要求。</w:t>
      </w:r>
    </w:p>
    <w:p w14:paraId="02B5FC49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命令行接口如下：</w:t>
      </w:r>
    </w:p>
    <w:p w14:paraId="20BFFF10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 xml:space="preserve">  python main.py analyze        # 运行数据分析，生成4张图表</w:t>
      </w:r>
    </w:p>
    <w:p w14:paraId="1EE5C3FE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 xml:space="preserve">  python main.py preprocess     # 运行数据预处理流水线</w:t>
      </w:r>
    </w:p>
    <w:p w14:paraId="4B32EF68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 xml:space="preserve">  python main.py train          # 训练所有5种算法</w:t>
      </w:r>
    </w:p>
    <w:p w14:paraId="566BF742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 xml:space="preserve">  python main.py evaluate       # 多维度评估，生成6张对比图表</w:t>
      </w:r>
    </w:p>
    <w:p w14:paraId="15DA4A18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 xml:space="preserve">  python main.py full-pipeline  # 一键运行完整流程</w:t>
      </w:r>
    </w:p>
    <w:p w14:paraId="21BAF637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每个命令独立可运行，输出保存到 outputs/ 目录下的对应子目录（figures/、models/、results/），便于查看和引用。</w:t>
      </w:r>
    </w:p>
    <w:p w14:paraId="47D61749">
      <w:pPr>
        <w:pStyle w:val="3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4.3  GitHub展示</w:t>
      </w:r>
    </w:p>
    <w:p w14:paraId="35FD725C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项目已上传至 GitHub，方便教师在线查看完整代码、文档和实验结果。README.md 文件按照课程评分要求，包含以下内容：</w:t>
      </w:r>
    </w:p>
    <w:p w14:paraId="7A2DBD1B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 xml:space="preserve">  (1) 数据集描述与数据污染说明</w:t>
      </w:r>
    </w:p>
    <w:p w14:paraId="43536008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 xml:space="preserve">  (2) 数据处理方法列表（标签清洗、缺失值填充、特征工程）</w:t>
      </w:r>
    </w:p>
    <w:p w14:paraId="32A5A85D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 xml:space="preserve">  (3) 实现的算法清单（含课内/课外标记和手写ANN说明）</w:t>
      </w:r>
    </w:p>
    <w:p w14:paraId="60F13B79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 xml:space="preserve">  (4) 所有算法的精度对比汇总表</w:t>
      </w:r>
    </w:p>
    <w:p w14:paraId="3BA00D35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 xml:space="preserve">  (5) 工程架构目录树</w:t>
      </w:r>
    </w:p>
    <w:p w14:paraId="6D9F9BDD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 xml:space="preserve">  (6) 快速开始指南（环境安装+命令行运行）</w:t>
      </w:r>
    </w:p>
    <w:p w14:paraId="0E315D1B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 xml:space="preserve">  (7) 课程总结</w:t>
      </w:r>
    </w:p>
    <w:p w14:paraId="6883CA59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GitHub 仓库展示网页链接将在正式提交时补充到论文中。</w:t>
      </w:r>
    </w:p>
    <w:p w14:paraId="75EEE8D1">
      <w:pPr>
        <w:pageBreakBefore/>
      </w:pPr>
    </w:p>
    <w:p w14:paraId="31616D21">
      <w:pPr>
        <w:pStyle w:val="2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第五章  课程总结</w:t>
      </w:r>
    </w:p>
    <w:p w14:paraId="4BDB1255">
      <w:pPr>
        <w:pStyle w:val="3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5.1  所学内容</w:t>
      </w:r>
    </w:p>
    <w:p w14:paraId="7F508E53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通过本学期的机器学习课程学习，我系统地掌握了机器学习的基本理论和实践技能，具体包括以下几个方面：</w:t>
      </w:r>
    </w:p>
    <w:p w14:paraId="3057A140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（1）机器学习基础知识：理解了机器学习的基本概念（监督学习、无监督学习、分类、回归）、模型的偏差-方差权衡（过拟合与欠拟合）、交叉验证等核心理论。</w:t>
      </w:r>
    </w:p>
    <w:p w14:paraId="191774E1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（2）经典分类算法：学习并实践了 KNN（K近邻）、Logistic Regression（逻辑回归）、SVM（支持向量机）等传统机器学习算法，理解了它们的数学模型、优化目标和适用场景。</w:t>
      </w:r>
    </w:p>
    <w:p w14:paraId="5CF7A5F3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（3）神经网络与深度学习：重点学习了人工神经网络（ANN）的前向传播和反向传播算法，从数学推导到代码实现完整地理解了神经网络的训练过程。同时在课堂上了解了 CNN（卷积神经网络）、VGG 等更深层的网络结构，以及 HOG 等传统特征提取方法。</w:t>
      </w:r>
    </w:p>
    <w:p w14:paraId="0EA1CACF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（4）数据预处理与特征工程：掌握了缺失值处理、标签清洗、特征标准化、异常值检测等数据清洗技巧，理解了"垃圾进垃圾出"的道理——数据质量直接决定模型上限。</w:t>
      </w:r>
    </w:p>
    <w:p w14:paraId="4D9A7A6B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（5）模型评估方法论：学会了从多个维度（精度、收敛速度、推理效率、鲁棒性、过拟合程度）全面评估和对比不同算法，建立了科学的实验设计思维。</w:t>
      </w:r>
    </w:p>
    <w:p w14:paraId="78633DA9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（6）工程化能力：通过本次期末大作业，实践了将机器学习流程模块化、工程化的全过程——从数据加载、预处理、模型训练到评估分析，构建了可复用的命令行工具。</w:t>
      </w:r>
    </w:p>
    <w:p w14:paraId="55E7483A">
      <w:pPr>
        <w:pStyle w:val="3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5.2  课程评价与建议</w:t>
      </w:r>
    </w:p>
    <w:p w14:paraId="4108E169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课程整体评价：本课程内容充实、理论与实践结合紧密，是一门前沿且实用的课程。教师授课逻辑清晰，从基础的 KNN、逻辑回归出发，逐步深入到 SVM、ANN、CNN，使我在循序渐近的学习过程中建立了扎实的机器学习知识体系。</w:t>
      </w:r>
    </w:p>
    <w:p w14:paraId="792D4A1D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课程的亮点在于以下几个方面：</w:t>
      </w:r>
    </w:p>
    <w:p w14:paraId="69D223CD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（1）理论与实践并重：每学完一种算法都有对应的实验和作业，帮助巩固理论理解。特别是要求手写 ANN 的前向和反向传播，这种"造轮子"的练习对理解神经网络的本质非常有价值。</w:t>
      </w:r>
    </w:p>
    <w:p w14:paraId="7FBC4407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（2）期末大作业设计合理：要求涵盖数据分析、数据处理、多算法实验、系统展示和课程总结的全流程，全面检验了学生的综合能力。同时鼓励学生自学一种课外算法（如本实验中的 XGBoost），培养了自主学习能力。</w:t>
      </w:r>
    </w:p>
    <w:p w14:paraId="780E9B4F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（3）脏数据版本的引入：教师提供的 Dirty Dataset 包含多种类型的污染数据，这一设计非常贴近实际工作场景——真实世界的数据从来不是干净的，学会处理脏数据是机器学习工程师的必备技能。</w:t>
      </w:r>
    </w:p>
    <w:p w14:paraId="05227DC5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建议与改进方向：</w:t>
      </w:r>
    </w:p>
    <w:p w14:paraId="41669733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（1）可以增加一些关于模型解释性（如 SHAP、LIME）的内容，帮助理解模型的决策依据。</w:t>
      </w:r>
    </w:p>
    <w:p w14:paraId="63A78F81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（2）建议在课程中增加一些模型部署相关的内容（如模型导出、API 服务化），帮助弥合"实验"到"生产"的鸿沟。</w:t>
      </w:r>
    </w:p>
    <w:p w14:paraId="058E9AE9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（3）可以考虑引入更多真实工业场景的数据集，让学生接触更贴近实际的问题类型（如极度不均衡分类、多标签分类等）。</w:t>
      </w:r>
    </w:p>
    <w:p w14:paraId="2382E92E">
      <w:pPr>
        <w:pStyle w:val="3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5.3  结语</w:t>
      </w:r>
    </w:p>
    <w:p w14:paraId="67F47C46">
      <w:pPr>
        <w:spacing w:before="40" w:after="40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通过本学期的学习和本次期末大作业的实践，我不仅掌握了机器学习的核心理论知识，更重要的是建立了从数据到模型的完整工程化思维。感谢教师的悉心指导和课程团队的辛勤付出。这套方法论将为我未来的学习和工作奠定坚实的基础。</w:t>
      </w:r>
    </w:p>
    <w:p w14:paraId="0535A456">
      <w:pPr>
        <w:pageBreakBefore/>
      </w:pPr>
    </w:p>
    <w:p w14:paraId="3BECBCEB">
      <w:pPr>
        <w:pStyle w:val="2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参考文献</w:t>
      </w:r>
    </w:p>
    <w:p w14:paraId="4D69F096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[1] Koklu, M., &amp; Ozkan, I. A. (2020). Multiclass Classification of Dry Beans Using Computer Vision and Machine Learning Techniques. Computers and Electronics in Agriculture, 174, 105507.</w:t>
      </w:r>
    </w:p>
    <w:p w14:paraId="16FC106F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[2] UCI Machine Learning Repository. Dry Bean Dataset. https://archive.ics.uci.edu/dataset/602/dry+bean+dataset</w:t>
      </w:r>
    </w:p>
    <w:p w14:paraId="5018DFFA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[3] Chen, T., &amp; Guestrin, C. (2016). XGBoost: A Scalable Tree Boosting System. KDD 2016.</w:t>
      </w:r>
    </w:p>
    <w:p w14:paraId="45A5C944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[4] Scikit-learn: Machine Learning in Python. https://scikit-learn.org/</w:t>
      </w:r>
    </w:p>
    <w:p w14:paraId="3AD5E7B4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[5] He, K., et al. (2015). Delving Deep into Rectifiers: Surpassing Human-Level Performance on ImageNet Classification. ICCV 2015.</w:t>
      </w:r>
    </w:p>
    <w:p w14:paraId="2A8320F6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[6] Bishop, C. M. (2006). Pattern Recognition and Machine Learning. Springer.</w:t>
      </w:r>
    </w:p>
    <w:p w14:paraId="280CB8C5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[7] Goodfellow, I., Bengio, Y., &amp; Courville, A. (2016). Deep Learning. MIT Press.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83D7F6">
    <w:pPr>
      <w:jc w:val="center"/>
    </w:pPr>
    <w:r>
      <w:rPr>
        <w:rFonts w:ascii="微软雅黑" w:hAnsi="微软雅黑" w:eastAsia="微软雅黑" w:cs="微软雅黑"/>
        <w:sz w:val="16"/>
        <w:szCs w:val="16"/>
      </w:rPr>
      <w:t xml:space="preserve">- </w:t>
    </w:r>
    <w:r>
      <w:rPr>
        <w:rFonts w:ascii="微软雅黑" w:hAnsi="微软雅黑" w:eastAsia="微软雅黑" w:cs="微软雅黑"/>
        <w:sz w:val="16"/>
        <w:szCs w:val="16"/>
      </w:rPr>
      <w:fldChar w:fldCharType="begin"/>
    </w:r>
    <w:r>
      <w:rPr>
        <w:rFonts w:ascii="微软雅黑" w:hAnsi="微软雅黑" w:eastAsia="微软雅黑" w:cs="微软雅黑"/>
        <w:sz w:val="16"/>
        <w:szCs w:val="16"/>
      </w:rPr>
      <w:instrText xml:space="preserve">PAGE</w:instrText>
    </w:r>
    <w:r>
      <w:rPr>
        <w:rFonts w:ascii="微软雅黑" w:hAnsi="微软雅黑" w:eastAsia="微软雅黑" w:cs="微软雅黑"/>
        <w:sz w:val="16"/>
        <w:szCs w:val="16"/>
      </w:rPr>
      <w:fldChar w:fldCharType="separate"/>
    </w:r>
    <w:r>
      <w:rPr>
        <w:rFonts w:ascii="微软雅黑" w:hAnsi="微软雅黑" w:eastAsia="微软雅黑" w:cs="微软雅黑"/>
        <w:sz w:val="16"/>
        <w:szCs w:val="16"/>
      </w:rPr>
      <w:fldChar w:fldCharType="end"/>
    </w:r>
    <w:r>
      <w:rPr>
        <w:rFonts w:ascii="微软雅黑" w:hAnsi="微软雅黑" w:eastAsia="微软雅黑" w:cs="微软雅黑"/>
        <w:sz w:val="16"/>
        <w:szCs w:val="16"/>
      </w:rPr>
      <w:t xml:space="preserve"> -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FDDCEE">
    <w:pPr>
      <w:jc w:val="right"/>
    </w:pPr>
    <w:r>
      <w:rPr>
        <w:rFonts w:ascii="微软雅黑" w:hAnsi="微软雅黑" w:eastAsia="微软雅黑" w:cs="微软雅黑"/>
        <w:i/>
        <w:iCs/>
        <w:color w:val="999999"/>
        <w:sz w:val="16"/>
        <w:szCs w:val="16"/>
      </w:rPr>
      <w:t>机器学习期末大作业 | 基于Dry Bean Dataset的全流程ML工程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2A976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40"/>
      <w:outlineLvl w:val="0"/>
    </w:pPr>
    <w:rPr>
      <w:rFonts w:ascii="微软雅黑" w:hAnsi="微软雅黑" w:eastAsia="微软雅黑" w:cs="微软雅黑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80"/>
      <w:outlineLvl w:val="1"/>
    </w:pPr>
    <w:rPr>
      <w:rFonts w:ascii="微软雅黑" w:hAnsi="微软雅黑" w:eastAsia="微软雅黑" w:cs="微软雅黑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pPr>
      <w:spacing w:before="180" w:after="120"/>
      <w:outlineLvl w:val="2"/>
    </w:pPr>
    <w:rPr>
      <w:rFonts w:ascii="微软雅黑" w:hAnsi="微软雅黑" w:eastAsia="微软雅黑" w:cs="微软雅黑"/>
      <w:b/>
      <w:bCs/>
      <w:color w:val="333333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3373</Words>
  <Characters>5047</Characters>
  <TotalTime>4</TotalTime>
  <ScaleCrop>false</ScaleCrop>
  <LinksUpToDate>false</LinksUpToDate>
  <CharactersWithSpaces>5377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2026-06-10T08:04:00Z</dcterms:created>
  <dc:creator>Un-named</dc:creator>
  <cp:lastModifiedBy>小破酒馆</cp:lastModifiedBy>
  <dcterms:modified xsi:type="dcterms:W3CDTF">2026-06-10T08:10:32Z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eyJoZGlkIjoiMGY0ZTYyMTQ2NjE3Njc2ZmUxNTM5ZjM0YWM3N2QyYzQiLCJ1c2VySWQiOiIxMjA4NjI4NTQ3In0=</vt:lpwstr>
  </property>
  <property fmtid="{D5CDD505-2E9C-101B-9397-08002B2CF9AE}" pid="3" name="KSOProductBuildVer">
    <vt:lpwstr>2052-12.1.0.26895</vt:lpwstr>
  </property>
  <property fmtid="{D5CDD505-2E9C-101B-9397-08002B2CF9AE}" pid="4" name="ICV">
    <vt:lpwstr>431319FFAA11424E863626B794A0A79C_12</vt:lpwstr>
  </property>
</Properties>
</file>