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560" w:lineRule="exact"/>
        <w:jc w:val="center"/>
      </w:pPr>
      <w:r>
        <w:rPr>
          <w:rFonts w:ascii="方正小标宋简体" w:hAnsi="方正小标宋简体" w:eastAsia="方正小标宋简体"/>
          <w:sz w:val="44"/>
        </w:rPr>
        <w:t>关于征求《北海市赶海旅游体验活动管理暂行办法（第四次征求意见稿）》意见的复函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4610710</wp:posOffset>
            </wp:positionH>
            <wp:positionV relativeFrom="page">
              <wp:posOffset>4202045</wp:posOffset>
            </wp:positionV>
            <wp:extent cx="1488112" cy="1550021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stam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8112" cy="15500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0" w:after="0" w:line="560" w:lineRule="exact"/>
        <w:jc w:val="left"/>
      </w:pPr>
      <w:r>
        <w:rPr>
          <w:rFonts w:ascii="仿宋" w:hAnsi="仿宋" w:eastAsia="仿宋"/>
          <w:sz w:val="32"/>
        </w:rPr>
        <w:t>区文旅局：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转来《北海市旅游文体局关于征求&lt;北海市赶海旅游体验活动管理暂行办法（第四次征求意见稿）&gt;意见的函》收悉。经研究，我镇意见如下：</w:t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一、对于该征求办法第十四条“属地人民政府、洲岛旅游区管委会可结合区域生态承载力（含滩涂生物资源、湿地生态阈值），统筹旅游文体、生态环境、海洋、林业等部门，研究测算赶海区域合理接待参考规模，为经营主体科学调配客流、做好服务保障提供专业指导”内容，建议将“属地政府‘统筹’职能部门”改为“职能部门‘指导’属地政府”，调整前后语序。并且根据《附件2：北海市司法局关于北海市赶海旅游体验活动管理暂行办法（送审稿）合法性审核意见的报告》第6点提出的建议：得超过景区主管部门核定的最大承载量”的规定，景区的最大承载量由景区主管部门核定。《暂行办法》第十四条笼统规定“赶海区域”最大承载量由“属地人民政府、洲岛旅游区管委会”核定，与《中华人民共和国旅游法》第四十五条的规定存在冲突，属于超越权限设定核定主体。建议进一步对最大承载量的核定主体进行论证。</w:t>
      </w:r>
    </w:p>
    <w:p>
      <w:r>
        <w:br w:type="page"/>
      </w:r>
    </w:p>
    <w:p>
      <w:pPr>
        <w:spacing w:before="0" w:after="0" w:line="560" w:lineRule="exact"/>
        <w:ind w:firstLine="640"/>
        <w:jc w:val="left"/>
      </w:pPr>
      <w:r>
        <w:rPr>
          <w:rFonts w:ascii="仿宋" w:hAnsi="仿宋" w:eastAsia="仿宋"/>
          <w:sz w:val="32"/>
        </w:rPr>
        <w:t>二、对于该征求办法第二十条“除医疗救援等紧急情况外，各类营运车辆不得进入沙滩、滩涂区域、不得利用改装的摩托车、电动车、观光车等非法运营车辆载客参加赶海旅游体验活动”内容，由于传统赶海作业的村民以此为生计，建议改为“除医疗救援等紧急情况及传统赶海作业村民使用的车辆外，其余各类营运车辆不得进入滩涂区域、不得利用改装的摩托车、电动车、观光车等非法运营车辆载客参加赶海旅游体验活动”。</w:t>
      </w:r>
    </w:p>
    <w:p>
      <w:pPr>
        <w:spacing w:before="1390" w:after="0" w:line="560" w:lineRule="exact"/>
        <w:ind w:left="5755"/>
        <w:jc w:val="left"/>
      </w:pPr>
      <w:r>
        <w:rPr>
          <w:rFonts w:ascii="仿宋" w:hAnsi="仿宋" w:eastAsia="仿宋"/>
          <w:sz w:val="32"/>
        </w:rPr>
        <w:t>银滩镇人民政府</w:t>
      </w:r>
    </w:p>
    <w:p>
      <w:pPr>
        <w:spacing w:before="0" w:after="0" w:line="560" w:lineRule="exact"/>
        <w:ind w:left="5594"/>
        <w:jc w:val="left"/>
      </w:pPr>
      <w:r>
        <w:rPr>
          <w:rFonts w:ascii="仿宋" w:hAnsi="仿宋" w:eastAsia="仿宋"/>
          <w:sz w:val="32"/>
        </w:rPr>
        <w:t>2026年5月15日</w:t>
      </w:r>
    </w:p>
    <w:p>
      <w:pPr>
        <w:spacing w:before="678" w:after="0" w:line="560" w:lineRule="exact"/>
        <w:ind w:left="1484"/>
        <w:jc w:val="left"/>
      </w:pPr>
      <w:r>
        <w:rPr>
          <w:rFonts w:ascii="仿宋" w:hAnsi="仿宋" w:eastAsia="仿宋"/>
          <w:sz w:val="32"/>
        </w:rPr>
        <w:t>（联系人及联系电话：谢玉珊，0779-2235153）</w:t>
      </w:r>
    </w:p>
    <w:sectPr w:rsidR="00FC693F" w:rsidRPr="0006063C" w:rsidSect="00034616">
      <w:pgSz w:w="12240" w:h="15840"/>
      <w:pgMar w:top="2098" w:right="1417" w:bottom="1984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