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20" w:after="0" w:line="560" w:lineRule="exact"/>
        <w:jc w:val="center"/>
      </w:pPr>
      <w:r>
        <w:rPr>
          <w:rFonts w:ascii="方正小标宋简体" w:hAnsi="方正小标宋简体" w:eastAsia="方正小标宋简体"/>
          <w:sz w:val="44"/>
        </w:rPr>
        <w:t>关于征求《北海市赶海旅游体验活动管理暂行办法（第四次征求意见稿）》意见的复函</w:t>
      </w:r>
    </w:p>
    <w:p>
      <w:pPr>
        <w:spacing w:before="763" w:after="0" w:line="560" w:lineRule="exact"/>
        <w:jc w:val="left"/>
      </w:pPr>
      <w:r>
        <w:rPr>
          <w:rFonts w:ascii="仿宋" w:hAnsi="仿宋" w:eastAsia="仿宋"/>
          <w:sz w:val="32"/>
        </w:rPr>
        <w:t>区文旅局：</w:t>
      </w:r>
    </w:p>
    <w:p>
      <w:pPr>
        <w:spacing w:before="203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转来《北海市旅游文体局关于征求&lt;北海市赶海旅游体验活动管理暂行办法（第四次征求意见稿）&gt;意见的函》收悉。经研究，我镇意见如下：</w:t>
      </w:r>
    </w:p>
    <w:p>
      <w:pPr>
        <w:spacing w:before="22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一、对于该征求办法第十四条“属地人民政府、洲岛旅游区管委会可结合区域生态承载力（含滩涂生物资源、湿地生态阈值），统筹旅游文体、生态环境、海洋、林业等部门，研究测算赶海区域合理接待参考规模，为经营主体科学调配客流、做好服务保障提供专业指导”内容，建议将“属地政府‘统筹’职能部门”改为“职能部门‘指导’属地政府”，调整前后语序。并且根据《附件2：北海市司法局关于北海市赶海旅游体验活动管理暂行办法（送审稿）合法性审核意见的报告》第6点提出的建议：得超过景区主管部门核定的最大承载量”的规定，景区的最大承载量由景区主管部门核定。《暂行办法》第十四条笼统规定“赶海区域”最大承载量由“属地人民政府、洲岛旅游区管委会”核定，与《中华人民共和国旅游法》第四十五条的规定存在冲突，属于超越权限设定核定主体。建议进一步对最大承载量的核定主体进行论证。</w:t>
      </w:r>
    </w:p>
    <w:p>
      <w:r>
        <w:br w:type="page"/>
      </w:r>
    </w:p>
    <w:p>
      <w:pPr>
        <w:spacing w:before="781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二、对于该征求办法第二十条“除医疗救援等紧急情况外，各类营运车辆不得进入沙滩、滩涂区域、不得利用改装的摩托车、电动车、观光车等非法运营车辆载客参加赶海旅游体验活动”内容，由于传统赶海作业的村民以此为生计，建议改为“除医疗救援等紧急情况及传统赶海作业村民使用的车辆外，其余各类营运车辆不得进入滩涂区域、不得利用改装的摩托车、电动车、观光车等非法运营车辆载客参加赶海旅游体验活动”。</w:t>
      </w:r>
    </w:p>
    <w:p>
      <w:pPr>
        <w:spacing w:before="1390" w:after="0" w:line="560" w:lineRule="exact"/>
        <w:ind w:left="5755"/>
        <w:jc w:val="left"/>
      </w:pPr>
      <w:r>
        <w:rPr>
          <w:rFonts w:ascii="仿宋" w:hAnsi="仿宋" w:eastAsia="仿宋"/>
          <w:sz w:val="32"/>
        </w:rPr>
        <w:t>银滩镇人民政府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4610710</wp:posOffset>
            </wp:positionH>
            <wp:positionV relativeFrom="page">
              <wp:posOffset>4202045</wp:posOffset>
            </wp:positionV>
            <wp:extent cx="1488112" cy="1550021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tamp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8112" cy="1550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560" w:lineRule="exact"/>
        <w:ind w:left="5594"/>
        <w:jc w:val="left"/>
      </w:pPr>
      <w:r>
        <w:rPr>
          <w:rFonts w:ascii="仿宋" w:hAnsi="仿宋" w:eastAsia="仿宋"/>
          <w:sz w:val="32"/>
        </w:rPr>
        <w:t>2026年5月15日</w:t>
      </w:r>
    </w:p>
    <w:p>
      <w:pPr>
        <w:spacing w:before="678" w:after="0" w:line="560" w:lineRule="exact"/>
        <w:ind w:left="1484"/>
        <w:jc w:val="left"/>
      </w:pPr>
      <w:r>
        <w:rPr>
          <w:rFonts w:ascii="仿宋" w:hAnsi="仿宋" w:eastAsia="仿宋"/>
          <w:sz w:val="32"/>
        </w:rPr>
        <w:t>（联系人及联系电话：谢玉珊，0779-2235153）</w:t>
      </w:r>
    </w:p>
    <w:sectPr w:rsidR="00FC693F" w:rsidRPr="0006063C" w:rsidSect="00034616">
      <w:pgSz w:w="12240" w:h="15840"/>
      <w:pgMar w:top="2098" w:right="1417" w:bottom="1984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