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实践二：MSTAR 深度半监督学习实验</w:t>
      </w:r>
    </w:p>
    <w:p>
      <w:pPr>
        <w:pStyle w:val="Heading2"/>
      </w:pPr>
      <w:r>
        <w:t>1. 基线 vs 有限标签</w:t>
      </w:r>
    </w:p>
    <w:p>
      <w:r>
        <w:t>全标签监督最优测试精度为 97.07%，10% 标签监督下降到 73.65%，下降 23.42 个百分点。</w:t>
      </w:r>
    </w:p>
    <w:p>
      <w:r>
        <w:drawing>
          <wp:inline xmlns:a="http://schemas.openxmlformats.org/drawingml/2006/main" xmlns:pic="http://schemas.openxmlformats.org/drawingml/2006/picture">
            <wp:extent cx="486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seline_limited_accurac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3583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seline_limited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2334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seline_limited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半监督方法</w:t>
      </w:r>
    </w:p>
    <w:p>
      <w:r>
        <w:t>FixMatch 使用弱增强预测生成高置信伪标签，再约束强增强视图保持一致。总损失为 L = Lx + lambda_u Lu。</w:t>
      </w:r>
    </w:p>
    <w:p>
      <w:r>
        <w:drawing>
          <wp:inline xmlns:a="http://schemas.openxmlformats.org/drawingml/2006/main" xmlns:pic="http://schemas.openxmlformats.org/drawingml/2006/picture">
            <wp:extent cx="5400000" cy="1922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xmatch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加入半监督后的结果对比</w:t>
      </w:r>
    </w:p>
    <w:p>
      <w:r>
        <w:t>FixMatch 与 10% 标签监督使用相同 268 张有标签样本，并额外利用 2478 张无标签图像。最优测试精度提升到 82.60%，相对 10% 标签监督提高 8.95 个百分点。</w:t>
      </w:r>
    </w:p>
    <w:p>
      <w:r>
        <w:drawing>
          <wp:inline xmlns:a="http://schemas.openxmlformats.org/drawingml/2006/main" xmlns:pic="http://schemas.openxmlformats.org/drawingml/2006/picture">
            <wp:extent cx="5400000" cy="203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sl_accuracy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3583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ll_trai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1616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l_confusion_mat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完整 Markdown 正文见 practice2_section_2to3_pages.md。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