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SimHei" w:hAnsi="SimHei" w:eastAsia="SimHei"/>
          <w:b/>
          <w:sz w:val="32"/>
        </w:rPr>
        <w:t>实践二  深度半监督学习实践</w:t>
      </w:r>
    </w:p>
    <w:p>
      <w:pPr>
        <w:spacing w:before="160" w:after="60"/>
      </w:pPr>
      <w:r>
        <w:rPr>
          <w:rFonts w:ascii="SimHei" w:hAnsi="SimHei" w:eastAsia="SimHei"/>
          <w:b/>
          <w:sz w:val="24"/>
        </w:rPr>
        <w:t>2.1 实验内容与数据集</w:t>
      </w:r>
    </w:p>
    <w:p>
      <w:pPr>
        <w:spacing w:line="276" w:lineRule="auto" w:after="0"/>
        <w:ind w:firstLine="380"/>
      </w:pPr>
      <w:r>
        <w:rPr>
          <w:rFonts w:ascii="SimSun" w:hAnsi="SimSun" w:eastAsia="SimSun"/>
          <w:b w:val="0"/>
          <w:sz w:val="19"/>
        </w:rPr>
        <w:t>本实践基于MSTAR灰度SAR目标图像完成10类分类实验，目的是观察标签有限对深度分类网络性能的影响，并采用FixMatch半监督学习方法利用未标注样本缓解性能下降。训练集共2746张，测试集共2425张；有限标签设置下仅保留268张有标签样本，占训练集9.76%，满足少于原训练样本1/10的要求。</w:t>
      </w:r>
    </w:p>
    <w:p>
      <w:pPr>
        <w:spacing w:before="80" w:after="40"/>
        <w:jc w:val="center"/>
      </w:pPr>
      <w:r>
        <w:rPr>
          <w:rFonts w:ascii="SimSun" w:hAnsi="SimSun" w:eastAsia="SimSun"/>
          <w:b/>
          <w:sz w:val="18"/>
        </w:rPr>
        <w:t>表2-1 数据划分与实验设置</w:t>
      </w:r>
    </w:p>
    <w:tbl>
      <w:tblPr>
        <w:tblStyle w:val="TableGrid"/>
        <w:tblW w:type="auto" w:w="0"/>
        <w:jc w:val="center"/>
        <w:tblLook w:firstColumn="1" w:firstRow="1" w:lastColumn="0" w:lastRow="0" w:noHBand="0" w:noVBand="1" w:val="04A0"/>
      </w:tblPr>
      <w:tblGrid>
        <w:gridCol w:w="3457"/>
        <w:gridCol w:w="3457"/>
        <w:gridCol w:w="3457"/>
      </w:tblGrid>
      <w:tr>
        <w:tc>
          <w:tcPr>
            <w:tcW w:type="dxa" w:w="3457"/>
            <w:vAlign w:val="center"/>
            <w:shd w:fill="EDEDED"/>
          </w:tcPr>
          <w:p>
            <w:pPr>
              <w:spacing w:after="0" w:line="240" w:lineRule="auto"/>
              <w:jc w:val="center"/>
            </w:pPr>
            <w:r/>
            <w:r>
              <w:rPr>
                <w:rFonts w:ascii="SimSun" w:hAnsi="SimSun" w:eastAsia="SimSun"/>
                <w:b/>
                <w:sz w:val="15"/>
              </w:rPr>
              <w:t>项目</w:t>
            </w:r>
          </w:p>
        </w:tc>
        <w:tc>
          <w:tcPr>
            <w:tcW w:type="dxa" w:w="3457"/>
            <w:vAlign w:val="center"/>
            <w:shd w:fill="EDEDED"/>
          </w:tcPr>
          <w:p>
            <w:pPr>
              <w:spacing w:after="0" w:line="240" w:lineRule="auto"/>
              <w:jc w:val="center"/>
            </w:pPr>
            <w:r/>
            <w:r>
              <w:rPr>
                <w:rFonts w:ascii="SimSun" w:hAnsi="SimSun" w:eastAsia="SimSun"/>
                <w:b/>
                <w:sz w:val="15"/>
              </w:rPr>
              <w:t>样本数</w:t>
            </w:r>
          </w:p>
        </w:tc>
        <w:tc>
          <w:tcPr>
            <w:tcW w:type="dxa" w:w="3457"/>
            <w:vAlign w:val="center"/>
            <w:shd w:fill="EDEDED"/>
          </w:tcPr>
          <w:p>
            <w:pPr>
              <w:spacing w:after="0" w:line="240" w:lineRule="auto"/>
              <w:jc w:val="center"/>
            </w:pPr>
            <w:r/>
            <w:r>
              <w:rPr>
                <w:rFonts w:ascii="SimSun" w:hAnsi="SimSun" w:eastAsia="SimSun"/>
                <w:b/>
                <w:sz w:val="15"/>
              </w:rPr>
              <w:t>说明</w:t>
            </w:r>
          </w:p>
        </w:tc>
      </w:tr>
      <w:tr>
        <w:tc>
          <w:tcPr>
            <w:tcW w:type="dxa" w:w="3457"/>
            <w:vAlign w:val="center"/>
          </w:tcPr>
          <w:p>
            <w:pPr>
              <w:spacing w:after="0" w:line="240" w:lineRule="auto"/>
              <w:jc w:val="center"/>
            </w:pPr>
            <w:r/>
            <w:r>
              <w:rPr>
                <w:rFonts w:ascii="SimSun" w:hAnsi="SimSun" w:eastAsia="SimSun"/>
                <w:b w:val="0"/>
                <w:sz w:val="15"/>
              </w:rPr>
              <w:t>训练集</w:t>
            </w:r>
          </w:p>
        </w:tc>
        <w:tc>
          <w:tcPr>
            <w:tcW w:type="dxa" w:w="3457"/>
            <w:vAlign w:val="center"/>
          </w:tcPr>
          <w:p>
            <w:pPr>
              <w:spacing w:after="0" w:line="240" w:lineRule="auto"/>
              <w:jc w:val="center"/>
            </w:pPr>
            <w:r/>
            <w:r>
              <w:rPr>
                <w:rFonts w:ascii="SimSun" w:hAnsi="SimSun" w:eastAsia="SimSun"/>
                <w:b w:val="0"/>
                <w:sz w:val="15"/>
              </w:rPr>
              <w:t>2746</w:t>
            </w:r>
          </w:p>
        </w:tc>
        <w:tc>
          <w:tcPr>
            <w:tcW w:type="dxa" w:w="3457"/>
            <w:vAlign w:val="center"/>
          </w:tcPr>
          <w:p>
            <w:pPr>
              <w:spacing w:after="0" w:line="240" w:lineRule="auto"/>
              <w:jc w:val="center"/>
            </w:pPr>
            <w:r/>
            <w:r>
              <w:rPr>
                <w:rFonts w:ascii="SimSun" w:hAnsi="SimSun" w:eastAsia="SimSun"/>
                <w:b w:val="0"/>
                <w:sz w:val="15"/>
              </w:rPr>
              <w:t>10类MSTAR SAR图像</w:t>
            </w:r>
          </w:p>
        </w:tc>
      </w:tr>
      <w:tr>
        <w:tc>
          <w:tcPr>
            <w:tcW w:type="dxa" w:w="3457"/>
            <w:vAlign w:val="center"/>
          </w:tcPr>
          <w:p>
            <w:pPr>
              <w:spacing w:after="0" w:line="240" w:lineRule="auto"/>
              <w:jc w:val="center"/>
            </w:pPr>
            <w:r/>
            <w:r>
              <w:rPr>
                <w:rFonts w:ascii="SimSun" w:hAnsi="SimSun" w:eastAsia="SimSun"/>
                <w:b w:val="0"/>
                <w:sz w:val="15"/>
              </w:rPr>
              <w:t>测试集</w:t>
            </w:r>
          </w:p>
        </w:tc>
        <w:tc>
          <w:tcPr>
            <w:tcW w:type="dxa" w:w="3457"/>
            <w:vAlign w:val="center"/>
          </w:tcPr>
          <w:p>
            <w:pPr>
              <w:spacing w:after="0" w:line="240" w:lineRule="auto"/>
              <w:jc w:val="center"/>
            </w:pPr>
            <w:r/>
            <w:r>
              <w:rPr>
                <w:rFonts w:ascii="SimSun" w:hAnsi="SimSun" w:eastAsia="SimSun"/>
                <w:b w:val="0"/>
                <w:sz w:val="15"/>
              </w:rPr>
              <w:t>2425</w:t>
            </w:r>
          </w:p>
        </w:tc>
        <w:tc>
          <w:tcPr>
            <w:tcW w:type="dxa" w:w="3457"/>
            <w:vAlign w:val="center"/>
          </w:tcPr>
          <w:p>
            <w:pPr>
              <w:spacing w:after="0" w:line="240" w:lineRule="auto"/>
              <w:jc w:val="center"/>
            </w:pPr>
            <w:r/>
            <w:r>
              <w:rPr>
                <w:rFonts w:ascii="SimSun" w:hAnsi="SimSun" w:eastAsia="SimSun"/>
                <w:b w:val="0"/>
                <w:sz w:val="15"/>
              </w:rPr>
              <w:t>用于最终分类精度评价</w:t>
            </w:r>
          </w:p>
        </w:tc>
      </w:tr>
      <w:tr>
        <w:tc>
          <w:tcPr>
            <w:tcW w:type="dxa" w:w="3457"/>
            <w:vAlign w:val="center"/>
          </w:tcPr>
          <w:p>
            <w:pPr>
              <w:spacing w:after="0" w:line="240" w:lineRule="auto"/>
              <w:jc w:val="center"/>
            </w:pPr>
            <w:r/>
            <w:r>
              <w:rPr>
                <w:rFonts w:ascii="SimSun" w:hAnsi="SimSun" w:eastAsia="SimSun"/>
                <w:b w:val="0"/>
                <w:sz w:val="15"/>
              </w:rPr>
              <w:t>有限标签集</w:t>
            </w:r>
          </w:p>
        </w:tc>
        <w:tc>
          <w:tcPr>
            <w:tcW w:type="dxa" w:w="3457"/>
            <w:vAlign w:val="center"/>
          </w:tcPr>
          <w:p>
            <w:pPr>
              <w:spacing w:after="0" w:line="240" w:lineRule="auto"/>
              <w:jc w:val="center"/>
            </w:pPr>
            <w:r/>
            <w:r>
              <w:rPr>
                <w:rFonts w:ascii="SimSun" w:hAnsi="SimSun" w:eastAsia="SimSun"/>
                <w:b w:val="0"/>
                <w:sz w:val="15"/>
              </w:rPr>
              <w:t>268</w:t>
            </w:r>
          </w:p>
        </w:tc>
        <w:tc>
          <w:tcPr>
            <w:tcW w:type="dxa" w:w="3457"/>
            <w:vAlign w:val="center"/>
          </w:tcPr>
          <w:p>
            <w:pPr>
              <w:spacing w:after="0" w:line="240" w:lineRule="auto"/>
              <w:jc w:val="center"/>
            </w:pPr>
            <w:r/>
            <w:r>
              <w:rPr>
                <w:rFonts w:ascii="SimSun" w:hAnsi="SimSun" w:eastAsia="SimSun"/>
                <w:b w:val="0"/>
                <w:sz w:val="15"/>
              </w:rPr>
              <w:t>约10%标签，实际占比9.76%</w:t>
            </w:r>
          </w:p>
        </w:tc>
      </w:tr>
      <w:tr>
        <w:tc>
          <w:tcPr>
            <w:tcW w:type="dxa" w:w="3457"/>
            <w:vAlign w:val="center"/>
          </w:tcPr>
          <w:p>
            <w:pPr>
              <w:spacing w:after="0" w:line="240" w:lineRule="auto"/>
              <w:jc w:val="center"/>
            </w:pPr>
            <w:r/>
            <w:r>
              <w:rPr>
                <w:rFonts w:ascii="SimSun" w:hAnsi="SimSun" w:eastAsia="SimSun"/>
                <w:b w:val="0"/>
                <w:sz w:val="15"/>
              </w:rPr>
              <w:t>无标签集</w:t>
            </w:r>
          </w:p>
        </w:tc>
        <w:tc>
          <w:tcPr>
            <w:tcW w:type="dxa" w:w="3457"/>
            <w:vAlign w:val="center"/>
          </w:tcPr>
          <w:p>
            <w:pPr>
              <w:spacing w:after="0" w:line="240" w:lineRule="auto"/>
              <w:jc w:val="center"/>
            </w:pPr>
            <w:r/>
            <w:r>
              <w:rPr>
                <w:rFonts w:ascii="SimSun" w:hAnsi="SimSun" w:eastAsia="SimSun"/>
                <w:b w:val="0"/>
                <w:sz w:val="15"/>
              </w:rPr>
              <w:t>2478</w:t>
            </w:r>
          </w:p>
        </w:tc>
        <w:tc>
          <w:tcPr>
            <w:tcW w:type="dxa" w:w="3457"/>
            <w:vAlign w:val="center"/>
          </w:tcPr>
          <w:p>
            <w:pPr>
              <w:spacing w:after="0" w:line="240" w:lineRule="auto"/>
              <w:jc w:val="center"/>
            </w:pPr>
            <w:r/>
            <w:r>
              <w:rPr>
                <w:rFonts w:ascii="SimSun" w:hAnsi="SimSun" w:eastAsia="SimSun"/>
                <w:b w:val="0"/>
                <w:sz w:val="15"/>
              </w:rPr>
              <w:t>FixMatch半监督阶段使用</w:t>
            </w:r>
          </w:p>
        </w:tc>
      </w:tr>
    </w:tbl>
    <w:p>
      <w:pPr>
        <w:spacing w:before="160" w:after="60"/>
      </w:pPr>
      <w:r>
        <w:rPr>
          <w:rFonts w:ascii="SimHei" w:hAnsi="SimHei" w:eastAsia="SimHei"/>
          <w:b/>
          <w:sz w:val="24"/>
        </w:rPr>
        <w:t>2.2 基线与有限标签实验</w:t>
      </w:r>
    </w:p>
    <w:p>
      <w:pPr>
        <w:spacing w:line="276" w:lineRule="auto" w:after="0"/>
        <w:ind w:firstLine="380"/>
      </w:pPr>
      <w:r>
        <w:rPr>
          <w:rFonts w:ascii="SimSun" w:hAnsi="SimSun" w:eastAsia="SimSun"/>
          <w:b w:val="0"/>
          <w:sz w:val="19"/>
        </w:rPr>
        <w:t>首先使用全部训练标签训练SmallResNet作为监督学习基线；随后仅使用268张有标签样本重新训练同一网络，其余训练样本不参与监督训练。两组实验用于验证标签数量减少对深度模型泛化性能的影响。</w:t>
      </w:r>
    </w:p>
    <w:p>
      <w:pPr>
        <w:spacing w:before="80" w:after="40"/>
        <w:jc w:val="center"/>
      </w:pPr>
      <w:r>
        <w:rPr>
          <w:rFonts w:ascii="SimSun" w:hAnsi="SimSun" w:eastAsia="SimSun"/>
          <w:b/>
          <w:sz w:val="18"/>
        </w:rPr>
        <w:t>表2-2 基线与有限标签结果对比</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DEDED"/>
          </w:tcPr>
          <w:p>
            <w:pPr>
              <w:spacing w:after="0" w:line="240" w:lineRule="auto"/>
              <w:jc w:val="center"/>
            </w:pPr>
            <w:r/>
            <w:r>
              <w:rPr>
                <w:rFonts w:ascii="SimSun" w:hAnsi="SimSun" w:eastAsia="SimSun"/>
                <w:b/>
                <w:sz w:val="15"/>
              </w:rPr>
              <w:t>方法</w:t>
            </w:r>
          </w:p>
        </w:tc>
        <w:tc>
          <w:tcPr>
            <w:tcW w:type="dxa" w:w="2074"/>
            <w:vAlign w:val="center"/>
            <w:shd w:fill="EDEDED"/>
          </w:tcPr>
          <w:p>
            <w:pPr>
              <w:spacing w:after="0" w:line="240" w:lineRule="auto"/>
              <w:jc w:val="center"/>
            </w:pPr>
            <w:r/>
            <w:r>
              <w:rPr>
                <w:rFonts w:ascii="SimSun" w:hAnsi="SimSun" w:eastAsia="SimSun"/>
                <w:b/>
                <w:sz w:val="15"/>
              </w:rPr>
              <w:t>有标签样本</w:t>
            </w:r>
          </w:p>
        </w:tc>
        <w:tc>
          <w:tcPr>
            <w:tcW w:type="dxa" w:w="2074"/>
            <w:vAlign w:val="center"/>
            <w:shd w:fill="EDEDED"/>
          </w:tcPr>
          <w:p>
            <w:pPr>
              <w:spacing w:after="0" w:line="240" w:lineRule="auto"/>
              <w:jc w:val="center"/>
            </w:pPr>
            <w:r/>
            <w:r>
              <w:rPr>
                <w:rFonts w:ascii="SimSun" w:hAnsi="SimSun" w:eastAsia="SimSun"/>
                <w:b/>
                <w:sz w:val="15"/>
              </w:rPr>
              <w:t>无标签样本</w:t>
            </w:r>
          </w:p>
        </w:tc>
        <w:tc>
          <w:tcPr>
            <w:tcW w:type="dxa" w:w="2074"/>
            <w:vAlign w:val="center"/>
            <w:shd w:fill="EDEDED"/>
          </w:tcPr>
          <w:p>
            <w:pPr>
              <w:spacing w:after="0" w:line="240" w:lineRule="auto"/>
              <w:jc w:val="center"/>
            </w:pPr>
            <w:r/>
            <w:r>
              <w:rPr>
                <w:rFonts w:ascii="SimSun" w:hAnsi="SimSun" w:eastAsia="SimSun"/>
                <w:b/>
                <w:sz w:val="15"/>
              </w:rPr>
              <w:t>最优测试准确率</w:t>
            </w:r>
          </w:p>
        </w:tc>
        <w:tc>
          <w:tcPr>
            <w:tcW w:type="dxa" w:w="2074"/>
            <w:vAlign w:val="center"/>
            <w:shd w:fill="EDEDED"/>
          </w:tcPr>
          <w:p>
            <w:pPr>
              <w:spacing w:after="0" w:line="240" w:lineRule="auto"/>
              <w:jc w:val="center"/>
            </w:pPr>
            <w:r/>
            <w:r>
              <w:rPr>
                <w:rFonts w:ascii="SimSun" w:hAnsi="SimSun" w:eastAsia="SimSun"/>
                <w:b/>
                <w:sz w:val="15"/>
              </w:rPr>
              <w:t>最佳轮次</w:t>
            </w:r>
          </w:p>
        </w:tc>
      </w:tr>
      <w:tr>
        <w:tc>
          <w:tcPr>
            <w:tcW w:type="dxa" w:w="2074"/>
            <w:vAlign w:val="center"/>
          </w:tcPr>
          <w:p>
            <w:pPr>
              <w:spacing w:after="0" w:line="240" w:lineRule="auto"/>
              <w:jc w:val="center"/>
            </w:pPr>
            <w:r/>
            <w:r>
              <w:rPr>
                <w:rFonts w:ascii="SimSun" w:hAnsi="SimSun" w:eastAsia="SimSun"/>
                <w:b w:val="0"/>
                <w:sz w:val="15"/>
              </w:rPr>
              <w:t>全标签监督</w:t>
            </w:r>
          </w:p>
        </w:tc>
        <w:tc>
          <w:tcPr>
            <w:tcW w:type="dxa" w:w="2074"/>
            <w:vAlign w:val="center"/>
          </w:tcPr>
          <w:p>
            <w:pPr>
              <w:spacing w:after="0" w:line="240" w:lineRule="auto"/>
              <w:jc w:val="center"/>
            </w:pPr>
            <w:r/>
            <w:r>
              <w:rPr>
                <w:rFonts w:ascii="SimSun" w:hAnsi="SimSun" w:eastAsia="SimSun"/>
                <w:b w:val="0"/>
                <w:sz w:val="15"/>
              </w:rPr>
              <w:t>2746</w:t>
            </w:r>
          </w:p>
        </w:tc>
        <w:tc>
          <w:tcPr>
            <w:tcW w:type="dxa" w:w="2074"/>
            <w:vAlign w:val="center"/>
          </w:tcPr>
          <w:p>
            <w:pPr>
              <w:spacing w:after="0" w:line="240" w:lineRule="auto"/>
              <w:jc w:val="center"/>
            </w:pPr>
            <w:r/>
            <w:r>
              <w:rPr>
                <w:rFonts w:ascii="SimSun" w:hAnsi="SimSun" w:eastAsia="SimSun"/>
                <w:b w:val="0"/>
                <w:sz w:val="15"/>
              </w:rPr>
              <w:t>0</w:t>
            </w:r>
          </w:p>
        </w:tc>
        <w:tc>
          <w:tcPr>
            <w:tcW w:type="dxa" w:w="2074"/>
            <w:vAlign w:val="center"/>
          </w:tcPr>
          <w:p>
            <w:pPr>
              <w:spacing w:after="0" w:line="240" w:lineRule="auto"/>
              <w:jc w:val="center"/>
            </w:pPr>
            <w:r/>
            <w:r>
              <w:rPr>
                <w:rFonts w:ascii="SimSun" w:hAnsi="SimSun" w:eastAsia="SimSun"/>
                <w:b w:val="0"/>
                <w:sz w:val="15"/>
              </w:rPr>
              <w:t>97.44%</w:t>
            </w:r>
          </w:p>
        </w:tc>
        <w:tc>
          <w:tcPr>
            <w:tcW w:type="dxa" w:w="2074"/>
            <w:vAlign w:val="center"/>
          </w:tcPr>
          <w:p>
            <w:pPr>
              <w:spacing w:after="0" w:line="240" w:lineRule="auto"/>
              <w:jc w:val="center"/>
            </w:pPr>
            <w:r/>
            <w:r>
              <w:rPr>
                <w:rFonts w:ascii="SimSun" w:hAnsi="SimSun" w:eastAsia="SimSun"/>
                <w:b w:val="0"/>
                <w:sz w:val="15"/>
              </w:rPr>
              <w:t>62</w:t>
            </w:r>
          </w:p>
        </w:tc>
      </w:tr>
      <w:tr>
        <w:tc>
          <w:tcPr>
            <w:tcW w:type="dxa" w:w="2074"/>
            <w:vAlign w:val="center"/>
          </w:tcPr>
          <w:p>
            <w:pPr>
              <w:spacing w:after="0" w:line="240" w:lineRule="auto"/>
              <w:jc w:val="center"/>
            </w:pPr>
            <w:r/>
            <w:r>
              <w:rPr>
                <w:rFonts w:ascii="SimSun" w:hAnsi="SimSun" w:eastAsia="SimSun"/>
                <w:b w:val="0"/>
                <w:sz w:val="15"/>
              </w:rPr>
              <w:t>10%标签监督</w:t>
            </w:r>
          </w:p>
        </w:tc>
        <w:tc>
          <w:tcPr>
            <w:tcW w:type="dxa" w:w="2074"/>
            <w:vAlign w:val="center"/>
          </w:tcPr>
          <w:p>
            <w:pPr>
              <w:spacing w:after="0" w:line="240" w:lineRule="auto"/>
              <w:jc w:val="center"/>
            </w:pPr>
            <w:r/>
            <w:r>
              <w:rPr>
                <w:rFonts w:ascii="SimSun" w:hAnsi="SimSun" w:eastAsia="SimSun"/>
                <w:b w:val="0"/>
                <w:sz w:val="15"/>
              </w:rPr>
              <w:t>268</w:t>
            </w:r>
          </w:p>
        </w:tc>
        <w:tc>
          <w:tcPr>
            <w:tcW w:type="dxa" w:w="2074"/>
            <w:vAlign w:val="center"/>
          </w:tcPr>
          <w:p>
            <w:pPr>
              <w:spacing w:after="0" w:line="240" w:lineRule="auto"/>
              <w:jc w:val="center"/>
            </w:pPr>
            <w:r/>
            <w:r>
              <w:rPr>
                <w:rFonts w:ascii="SimSun" w:hAnsi="SimSun" w:eastAsia="SimSun"/>
                <w:b w:val="0"/>
                <w:sz w:val="15"/>
              </w:rPr>
              <w:t>未使用</w:t>
            </w:r>
          </w:p>
        </w:tc>
        <w:tc>
          <w:tcPr>
            <w:tcW w:type="dxa" w:w="2074"/>
            <w:vAlign w:val="center"/>
          </w:tcPr>
          <w:p>
            <w:pPr>
              <w:spacing w:after="0" w:line="240" w:lineRule="auto"/>
              <w:jc w:val="center"/>
            </w:pPr>
            <w:r/>
            <w:r>
              <w:rPr>
                <w:rFonts w:ascii="SimSun" w:hAnsi="SimSun" w:eastAsia="SimSun"/>
                <w:b w:val="0"/>
                <w:sz w:val="15"/>
              </w:rPr>
              <w:t>73.86%</w:t>
            </w:r>
          </w:p>
        </w:tc>
        <w:tc>
          <w:tcPr>
            <w:tcW w:type="dxa" w:w="2074"/>
            <w:vAlign w:val="center"/>
          </w:tcPr>
          <w:p>
            <w:pPr>
              <w:spacing w:after="0" w:line="240" w:lineRule="auto"/>
              <w:jc w:val="center"/>
            </w:pPr>
            <w:r/>
            <w:r>
              <w:rPr>
                <w:rFonts w:ascii="SimSun" w:hAnsi="SimSun" w:eastAsia="SimSun"/>
                <w:b w:val="0"/>
                <w:sz w:val="15"/>
              </w:rPr>
              <w:t>43</w:t>
            </w:r>
          </w:p>
        </w:tc>
      </w:tr>
    </w:tbl>
    <w:p>
      <w:pPr>
        <w:spacing w:before="60" w:after="0"/>
        <w:jc w:val="center"/>
      </w:pPr>
      <w:r>
        <w:drawing>
          <wp:inline xmlns:a="http://schemas.openxmlformats.org/drawingml/2006/main" xmlns:pic="http://schemas.openxmlformats.org/drawingml/2006/picture">
            <wp:extent cx="5715000" cy="1831593"/>
            <wp:docPr id="1" name="Picture 1"/>
            <wp:cNvGraphicFramePr>
              <a:graphicFrameLocks noChangeAspect="1"/>
            </wp:cNvGraphicFramePr>
            <a:graphic>
              <a:graphicData uri="http://schemas.openxmlformats.org/drawingml/2006/picture">
                <pic:pic>
                  <pic:nvPicPr>
                    <pic:cNvPr id="0" name="fig2_accuracy_recovery.png"/>
                    <pic:cNvPicPr/>
                  </pic:nvPicPr>
                  <pic:blipFill>
                    <a:blip r:embed="rId11"/>
                    <a:stretch>
                      <a:fillRect/>
                    </a:stretch>
                  </pic:blipFill>
                  <pic:spPr>
                    <a:xfrm>
                      <a:off x="0" y="0"/>
                      <a:ext cx="5715000" cy="1831593"/>
                    </a:xfrm>
                    <a:prstGeom prst="rect"/>
                  </pic:spPr>
                </pic:pic>
              </a:graphicData>
            </a:graphic>
          </wp:inline>
        </w:drawing>
      </w:r>
    </w:p>
    <w:p>
      <w:pPr>
        <w:spacing w:after="40"/>
        <w:jc w:val="center"/>
      </w:pPr>
      <w:r>
        <w:rPr>
          <w:rFonts w:ascii="SimSun" w:hAnsi="SimSun" w:eastAsia="SimSun"/>
          <w:b w:val="0"/>
          <w:sz w:val="17"/>
        </w:rPr>
        <w:t>图2-1 精度对比与半监督恢复情况</w:t>
      </w:r>
    </w:p>
    <w:p>
      <w:pPr>
        <w:spacing w:line="276" w:lineRule="auto" w:after="0"/>
        <w:ind w:firstLine="380"/>
      </w:pPr>
      <w:r>
        <w:rPr>
          <w:rFonts w:ascii="SimSun" w:hAnsi="SimSun" w:eastAsia="SimSun"/>
          <w:b w:val="0"/>
          <w:sz w:val="19"/>
        </w:rPr>
        <w:t>由表2-2和图2-1可知，标签从2746张减少到268张后，测试准确率由97.44%下降到73.86%，下降23.59个百分点，说明标签不足会显著削弱模型的泛化能力。</w:t>
      </w:r>
    </w:p>
    <w:p>
      <w:pPr>
        <w:spacing w:before="160" w:after="60"/>
      </w:pPr>
      <w:r>
        <w:rPr>
          <w:rFonts w:ascii="SimHei" w:hAnsi="SimHei" w:eastAsia="SimHei"/>
          <w:b/>
          <w:sz w:val="24"/>
        </w:rPr>
        <w:t>2.3 训练曲线、半监督方法与混淆矩阵</w:t>
      </w:r>
    </w:p>
    <w:p>
      <w:pPr>
        <w:spacing w:before="60" w:after="0"/>
        <w:jc w:val="center"/>
      </w:pPr>
      <w:r>
        <w:drawing>
          <wp:inline xmlns:a="http://schemas.openxmlformats.org/drawingml/2006/main" xmlns:pic="http://schemas.openxmlformats.org/drawingml/2006/picture">
            <wp:extent cx="5715000" cy="3061033"/>
            <wp:docPr id="2" name="Picture 2"/>
            <wp:cNvGraphicFramePr>
              <a:graphicFrameLocks noChangeAspect="1"/>
            </wp:cNvGraphicFramePr>
            <a:graphic>
              <a:graphicData uri="http://schemas.openxmlformats.org/drawingml/2006/picture">
                <pic:pic>
                  <pic:nvPicPr>
                    <pic:cNvPr id="0" name="fig2_training_curves.png"/>
                    <pic:cNvPicPr/>
                  </pic:nvPicPr>
                  <pic:blipFill>
                    <a:blip r:embed="rId12"/>
                    <a:stretch>
                      <a:fillRect/>
                    </a:stretch>
                  </pic:blipFill>
                  <pic:spPr>
                    <a:xfrm>
                      <a:off x="0" y="0"/>
                      <a:ext cx="5715000" cy="3061033"/>
                    </a:xfrm>
                    <a:prstGeom prst="rect"/>
                  </pic:spPr>
                </pic:pic>
              </a:graphicData>
            </a:graphic>
          </wp:inline>
        </w:drawing>
      </w:r>
    </w:p>
    <w:p>
      <w:pPr>
        <w:spacing w:after="40"/>
        <w:jc w:val="center"/>
      </w:pPr>
      <w:r>
        <w:rPr>
          <w:rFonts w:ascii="SimSun" w:hAnsi="SimSun" w:eastAsia="SimSun"/>
          <w:b w:val="0"/>
          <w:sz w:val="17"/>
        </w:rPr>
        <w:t>图2-2 三组实验训练/测试损失与准确率曲线</w:t>
      </w:r>
    </w:p>
    <w:p>
      <w:pPr>
        <w:spacing w:line="276" w:lineRule="auto" w:after="0"/>
        <w:ind w:firstLine="380"/>
      </w:pPr>
      <w:r>
        <w:rPr>
          <w:rFonts w:ascii="SimSun" w:hAnsi="SimSun" w:eastAsia="SimSun"/>
          <w:b w:val="0"/>
          <w:sz w:val="19"/>
        </w:rPr>
        <w:t>FixMatch通过伪标签和一致性正则化利用无标签数据。模型先对无标签图像的弱增强版本进行预测，当最大类别概率超过阈值τ=0.95时，将预测类别作为伪标签；随后对同一图像的强增强版本进行预测，并计算其与伪标签之间的一致性损失。总损失由有标签交叉熵损失和无标签一致性损失组成。</w:t>
      </w:r>
    </w:p>
    <w:p>
      <w:pPr>
        <w:spacing w:before="60" w:after="0"/>
        <w:jc w:val="center"/>
      </w:pPr>
      <w:r>
        <w:drawing>
          <wp:inline xmlns:a="http://schemas.openxmlformats.org/drawingml/2006/main" xmlns:pic="http://schemas.openxmlformats.org/drawingml/2006/picture">
            <wp:extent cx="5715000" cy="2515515"/>
            <wp:docPr id="3" name="Picture 3"/>
            <wp:cNvGraphicFramePr>
              <a:graphicFrameLocks noChangeAspect="1"/>
            </wp:cNvGraphicFramePr>
            <a:graphic>
              <a:graphicData uri="http://schemas.openxmlformats.org/drawingml/2006/picture">
                <pic:pic>
                  <pic:nvPicPr>
                    <pic:cNvPr id="0" name="fig2_fixmatch_flowchart.png"/>
                    <pic:cNvPicPr/>
                  </pic:nvPicPr>
                  <pic:blipFill>
                    <a:blip r:embed="rId13"/>
                    <a:stretch>
                      <a:fillRect/>
                    </a:stretch>
                  </pic:blipFill>
                  <pic:spPr>
                    <a:xfrm>
                      <a:off x="0" y="0"/>
                      <a:ext cx="5715000" cy="2515515"/>
                    </a:xfrm>
                    <a:prstGeom prst="rect"/>
                  </pic:spPr>
                </pic:pic>
              </a:graphicData>
            </a:graphic>
          </wp:inline>
        </w:drawing>
      </w:r>
    </w:p>
    <w:p>
      <w:pPr>
        <w:spacing w:after="40"/>
        <w:jc w:val="center"/>
      </w:pPr>
      <w:r>
        <w:rPr>
          <w:rFonts w:ascii="SimSun" w:hAnsi="SimSun" w:eastAsia="SimSun"/>
          <w:b w:val="0"/>
          <w:sz w:val="17"/>
        </w:rPr>
        <w:t>图2-3 FixMatch半监督学习实现框图</w:t>
      </w:r>
    </w:p>
    <w:p>
      <w:pPr>
        <w:spacing w:before="60" w:after="0"/>
        <w:jc w:val="center"/>
      </w:pPr>
      <w:r>
        <w:drawing>
          <wp:inline xmlns:a="http://schemas.openxmlformats.org/drawingml/2006/main" xmlns:pic="http://schemas.openxmlformats.org/drawingml/2006/picture">
            <wp:extent cx="5715000" cy="1941936"/>
            <wp:docPr id="4" name="Picture 4"/>
            <wp:cNvGraphicFramePr>
              <a:graphicFrameLocks noChangeAspect="1"/>
            </wp:cNvGraphicFramePr>
            <a:graphic>
              <a:graphicData uri="http://schemas.openxmlformats.org/drawingml/2006/picture">
                <pic:pic>
                  <pic:nvPicPr>
                    <pic:cNvPr id="0" name="fig2_confusion_matrices.png"/>
                    <pic:cNvPicPr/>
                  </pic:nvPicPr>
                  <pic:blipFill>
                    <a:blip r:embed="rId14"/>
                    <a:stretch>
                      <a:fillRect/>
                    </a:stretch>
                  </pic:blipFill>
                  <pic:spPr>
                    <a:xfrm>
                      <a:off x="0" y="0"/>
                      <a:ext cx="5715000" cy="1941936"/>
                    </a:xfrm>
                    <a:prstGeom prst="rect"/>
                  </pic:spPr>
                </pic:pic>
              </a:graphicData>
            </a:graphic>
          </wp:inline>
        </w:drawing>
      </w:r>
    </w:p>
    <w:p>
      <w:pPr>
        <w:spacing w:after="40"/>
        <w:jc w:val="center"/>
      </w:pPr>
      <w:r>
        <w:rPr>
          <w:rFonts w:ascii="SimSun" w:hAnsi="SimSun" w:eastAsia="SimSun"/>
          <w:b w:val="0"/>
          <w:sz w:val="17"/>
        </w:rPr>
        <w:t>图2-4 三组实验归一化混淆矩阵</w:t>
      </w:r>
    </w:p>
    <w:p>
      <w:pPr>
        <w:spacing w:before="160" w:after="60"/>
      </w:pPr>
      <w:r>
        <w:rPr>
          <w:rFonts w:ascii="SimHei" w:hAnsi="SimHei" w:eastAsia="SimHei"/>
          <w:b/>
          <w:sz w:val="24"/>
        </w:rPr>
        <w:t>2.4 结果分析与结论</w:t>
      </w:r>
    </w:p>
    <w:p>
      <w:pPr>
        <w:spacing w:before="80" w:after="40"/>
        <w:jc w:val="center"/>
      </w:pPr>
      <w:r>
        <w:rPr>
          <w:rFonts w:ascii="SimSun" w:hAnsi="SimSun" w:eastAsia="SimSun"/>
          <w:b/>
          <w:sz w:val="18"/>
        </w:rPr>
        <w:t>表2-3 加入半监督后的精度恢复情况</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DEDED"/>
          </w:tcPr>
          <w:p>
            <w:pPr>
              <w:spacing w:after="0" w:line="240" w:lineRule="auto"/>
              <w:jc w:val="center"/>
            </w:pPr>
            <w:r/>
            <w:r>
              <w:rPr>
                <w:rFonts w:ascii="SimSun" w:hAnsi="SimSun" w:eastAsia="SimSun"/>
                <w:b/>
                <w:sz w:val="15"/>
              </w:rPr>
              <w:t>方法</w:t>
            </w:r>
          </w:p>
        </w:tc>
        <w:tc>
          <w:tcPr>
            <w:tcW w:type="dxa" w:w="2074"/>
            <w:vAlign w:val="center"/>
            <w:shd w:fill="EDEDED"/>
          </w:tcPr>
          <w:p>
            <w:pPr>
              <w:spacing w:after="0" w:line="240" w:lineRule="auto"/>
              <w:jc w:val="center"/>
            </w:pPr>
            <w:r/>
            <w:r>
              <w:rPr>
                <w:rFonts w:ascii="SimSun" w:hAnsi="SimSun" w:eastAsia="SimSun"/>
                <w:b/>
                <w:sz w:val="15"/>
              </w:rPr>
              <w:t>有标签样本</w:t>
            </w:r>
          </w:p>
        </w:tc>
        <w:tc>
          <w:tcPr>
            <w:tcW w:type="dxa" w:w="2074"/>
            <w:vAlign w:val="center"/>
            <w:shd w:fill="EDEDED"/>
          </w:tcPr>
          <w:p>
            <w:pPr>
              <w:spacing w:after="0" w:line="240" w:lineRule="auto"/>
              <w:jc w:val="center"/>
            </w:pPr>
            <w:r/>
            <w:r>
              <w:rPr>
                <w:rFonts w:ascii="SimSun" w:hAnsi="SimSun" w:eastAsia="SimSun"/>
                <w:b/>
                <w:sz w:val="15"/>
              </w:rPr>
              <w:t>无标签样本</w:t>
            </w:r>
          </w:p>
        </w:tc>
        <w:tc>
          <w:tcPr>
            <w:tcW w:type="dxa" w:w="2074"/>
            <w:vAlign w:val="center"/>
            <w:shd w:fill="EDEDED"/>
          </w:tcPr>
          <w:p>
            <w:pPr>
              <w:spacing w:after="0" w:line="240" w:lineRule="auto"/>
              <w:jc w:val="center"/>
            </w:pPr>
            <w:r/>
            <w:r>
              <w:rPr>
                <w:rFonts w:ascii="SimSun" w:hAnsi="SimSun" w:eastAsia="SimSun"/>
                <w:b/>
                <w:sz w:val="15"/>
              </w:rPr>
              <w:t>最优准确率</w:t>
            </w:r>
          </w:p>
        </w:tc>
        <w:tc>
          <w:tcPr>
            <w:tcW w:type="dxa" w:w="2074"/>
            <w:vAlign w:val="center"/>
            <w:shd w:fill="EDEDED"/>
          </w:tcPr>
          <w:p>
            <w:pPr>
              <w:spacing w:after="0" w:line="240" w:lineRule="auto"/>
              <w:jc w:val="center"/>
            </w:pPr>
            <w:r/>
            <w:r>
              <w:rPr>
                <w:rFonts w:ascii="SimSun" w:hAnsi="SimSun" w:eastAsia="SimSun"/>
                <w:b/>
                <w:sz w:val="15"/>
              </w:rPr>
              <w:t>相对10%监督变化</w:t>
            </w:r>
          </w:p>
        </w:tc>
      </w:tr>
      <w:tr>
        <w:tc>
          <w:tcPr>
            <w:tcW w:type="dxa" w:w="2074"/>
            <w:vAlign w:val="center"/>
          </w:tcPr>
          <w:p>
            <w:pPr>
              <w:spacing w:after="0" w:line="240" w:lineRule="auto"/>
              <w:jc w:val="center"/>
            </w:pPr>
            <w:r/>
            <w:r>
              <w:rPr>
                <w:rFonts w:ascii="SimSun" w:hAnsi="SimSun" w:eastAsia="SimSun"/>
                <w:b w:val="0"/>
                <w:sz w:val="15"/>
              </w:rPr>
              <w:t>全标签监督</w:t>
            </w:r>
          </w:p>
        </w:tc>
        <w:tc>
          <w:tcPr>
            <w:tcW w:type="dxa" w:w="2074"/>
            <w:vAlign w:val="center"/>
          </w:tcPr>
          <w:p>
            <w:pPr>
              <w:spacing w:after="0" w:line="240" w:lineRule="auto"/>
              <w:jc w:val="center"/>
            </w:pPr>
            <w:r/>
            <w:r>
              <w:rPr>
                <w:rFonts w:ascii="SimSun" w:hAnsi="SimSun" w:eastAsia="SimSun"/>
                <w:b w:val="0"/>
                <w:sz w:val="15"/>
              </w:rPr>
              <w:t>2746</w:t>
            </w:r>
          </w:p>
        </w:tc>
        <w:tc>
          <w:tcPr>
            <w:tcW w:type="dxa" w:w="2074"/>
            <w:vAlign w:val="center"/>
          </w:tcPr>
          <w:p>
            <w:pPr>
              <w:spacing w:after="0" w:line="240" w:lineRule="auto"/>
              <w:jc w:val="center"/>
            </w:pPr>
            <w:r/>
            <w:r>
              <w:rPr>
                <w:rFonts w:ascii="SimSun" w:hAnsi="SimSun" w:eastAsia="SimSun"/>
                <w:b w:val="0"/>
                <w:sz w:val="15"/>
              </w:rPr>
              <w:t>0</w:t>
            </w:r>
          </w:p>
        </w:tc>
        <w:tc>
          <w:tcPr>
            <w:tcW w:type="dxa" w:w="2074"/>
            <w:vAlign w:val="center"/>
          </w:tcPr>
          <w:p>
            <w:pPr>
              <w:spacing w:after="0" w:line="240" w:lineRule="auto"/>
              <w:jc w:val="center"/>
            </w:pPr>
            <w:r/>
            <w:r>
              <w:rPr>
                <w:rFonts w:ascii="SimSun" w:hAnsi="SimSun" w:eastAsia="SimSun"/>
                <w:b w:val="0"/>
                <w:sz w:val="15"/>
              </w:rPr>
              <w:t>97.44%</w:t>
            </w:r>
          </w:p>
        </w:tc>
        <w:tc>
          <w:tcPr>
            <w:tcW w:type="dxa" w:w="2074"/>
            <w:vAlign w:val="center"/>
          </w:tcPr>
          <w:p>
            <w:pPr>
              <w:spacing w:after="0" w:line="240" w:lineRule="auto"/>
              <w:jc w:val="center"/>
            </w:pPr>
            <w:r/>
            <w:r>
              <w:rPr>
                <w:rFonts w:ascii="SimSun" w:hAnsi="SimSun" w:eastAsia="SimSun"/>
                <w:b w:val="0"/>
                <w:sz w:val="15"/>
              </w:rPr>
              <w:t>+23.59pp</w:t>
            </w:r>
          </w:p>
        </w:tc>
      </w:tr>
      <w:tr>
        <w:tc>
          <w:tcPr>
            <w:tcW w:type="dxa" w:w="2074"/>
            <w:vAlign w:val="center"/>
          </w:tcPr>
          <w:p>
            <w:pPr>
              <w:spacing w:after="0" w:line="240" w:lineRule="auto"/>
              <w:jc w:val="center"/>
            </w:pPr>
            <w:r/>
            <w:r>
              <w:rPr>
                <w:rFonts w:ascii="SimSun" w:hAnsi="SimSun" w:eastAsia="SimSun"/>
                <w:b w:val="0"/>
                <w:sz w:val="15"/>
              </w:rPr>
              <w:t>10%标签监督</w:t>
            </w:r>
          </w:p>
        </w:tc>
        <w:tc>
          <w:tcPr>
            <w:tcW w:type="dxa" w:w="2074"/>
            <w:vAlign w:val="center"/>
          </w:tcPr>
          <w:p>
            <w:pPr>
              <w:spacing w:after="0" w:line="240" w:lineRule="auto"/>
              <w:jc w:val="center"/>
            </w:pPr>
            <w:r/>
            <w:r>
              <w:rPr>
                <w:rFonts w:ascii="SimSun" w:hAnsi="SimSun" w:eastAsia="SimSun"/>
                <w:b w:val="0"/>
                <w:sz w:val="15"/>
              </w:rPr>
              <w:t>268</w:t>
            </w:r>
          </w:p>
        </w:tc>
        <w:tc>
          <w:tcPr>
            <w:tcW w:type="dxa" w:w="2074"/>
            <w:vAlign w:val="center"/>
          </w:tcPr>
          <w:p>
            <w:pPr>
              <w:spacing w:after="0" w:line="240" w:lineRule="auto"/>
              <w:jc w:val="center"/>
            </w:pPr>
            <w:r/>
            <w:r>
              <w:rPr>
                <w:rFonts w:ascii="SimSun" w:hAnsi="SimSun" w:eastAsia="SimSun"/>
                <w:b w:val="0"/>
                <w:sz w:val="15"/>
              </w:rPr>
              <w:t>0</w:t>
            </w:r>
          </w:p>
        </w:tc>
        <w:tc>
          <w:tcPr>
            <w:tcW w:type="dxa" w:w="2074"/>
            <w:vAlign w:val="center"/>
          </w:tcPr>
          <w:p>
            <w:pPr>
              <w:spacing w:after="0" w:line="240" w:lineRule="auto"/>
              <w:jc w:val="center"/>
            </w:pPr>
            <w:r/>
            <w:r>
              <w:rPr>
                <w:rFonts w:ascii="SimSun" w:hAnsi="SimSun" w:eastAsia="SimSun"/>
                <w:b w:val="0"/>
                <w:sz w:val="15"/>
              </w:rPr>
              <w:t>73.86%</w:t>
            </w:r>
          </w:p>
        </w:tc>
        <w:tc>
          <w:tcPr>
            <w:tcW w:type="dxa" w:w="2074"/>
            <w:vAlign w:val="center"/>
          </w:tcPr>
          <w:p>
            <w:pPr>
              <w:spacing w:after="0" w:line="240" w:lineRule="auto"/>
              <w:jc w:val="center"/>
            </w:pPr>
            <w:r/>
            <w:r>
              <w:rPr>
                <w:rFonts w:ascii="SimSun" w:hAnsi="SimSun" w:eastAsia="SimSun"/>
                <w:b w:val="0"/>
                <w:sz w:val="15"/>
              </w:rPr>
              <w:t>基准</w:t>
            </w:r>
          </w:p>
        </w:tc>
      </w:tr>
      <w:tr>
        <w:tc>
          <w:tcPr>
            <w:tcW w:type="dxa" w:w="2074"/>
            <w:vAlign w:val="center"/>
          </w:tcPr>
          <w:p>
            <w:pPr>
              <w:spacing w:after="0" w:line="240" w:lineRule="auto"/>
              <w:jc w:val="center"/>
            </w:pPr>
            <w:r/>
            <w:r>
              <w:rPr>
                <w:rFonts w:ascii="SimSun" w:hAnsi="SimSun" w:eastAsia="SimSun"/>
                <w:b w:val="0"/>
                <w:sz w:val="15"/>
              </w:rPr>
              <w:t>FixMatch半监督</w:t>
            </w:r>
          </w:p>
        </w:tc>
        <w:tc>
          <w:tcPr>
            <w:tcW w:type="dxa" w:w="2074"/>
            <w:vAlign w:val="center"/>
          </w:tcPr>
          <w:p>
            <w:pPr>
              <w:spacing w:after="0" w:line="240" w:lineRule="auto"/>
              <w:jc w:val="center"/>
            </w:pPr>
            <w:r/>
            <w:r>
              <w:rPr>
                <w:rFonts w:ascii="SimSun" w:hAnsi="SimSun" w:eastAsia="SimSun"/>
                <w:b w:val="0"/>
                <w:sz w:val="15"/>
              </w:rPr>
              <w:t>268</w:t>
            </w:r>
          </w:p>
        </w:tc>
        <w:tc>
          <w:tcPr>
            <w:tcW w:type="dxa" w:w="2074"/>
            <w:vAlign w:val="center"/>
          </w:tcPr>
          <w:p>
            <w:pPr>
              <w:spacing w:after="0" w:line="240" w:lineRule="auto"/>
              <w:jc w:val="center"/>
            </w:pPr>
            <w:r/>
            <w:r>
              <w:rPr>
                <w:rFonts w:ascii="SimSun" w:hAnsi="SimSun" w:eastAsia="SimSun"/>
                <w:b w:val="0"/>
                <w:sz w:val="15"/>
              </w:rPr>
              <w:t>2478</w:t>
            </w:r>
          </w:p>
        </w:tc>
        <w:tc>
          <w:tcPr>
            <w:tcW w:type="dxa" w:w="2074"/>
            <w:vAlign w:val="center"/>
          </w:tcPr>
          <w:p>
            <w:pPr>
              <w:spacing w:after="0" w:line="240" w:lineRule="auto"/>
              <w:jc w:val="center"/>
            </w:pPr>
            <w:r/>
            <w:r>
              <w:rPr>
                <w:rFonts w:ascii="SimSun" w:hAnsi="SimSun" w:eastAsia="SimSun"/>
                <w:b w:val="0"/>
                <w:sz w:val="15"/>
              </w:rPr>
              <w:t>81.94%</w:t>
            </w:r>
          </w:p>
        </w:tc>
        <w:tc>
          <w:tcPr>
            <w:tcW w:type="dxa" w:w="2074"/>
            <w:vAlign w:val="center"/>
          </w:tcPr>
          <w:p>
            <w:pPr>
              <w:spacing w:after="0" w:line="240" w:lineRule="auto"/>
              <w:jc w:val="center"/>
            </w:pPr>
            <w:r/>
            <w:r>
              <w:rPr>
                <w:rFonts w:ascii="SimSun" w:hAnsi="SimSun" w:eastAsia="SimSun"/>
                <w:b w:val="0"/>
                <w:sz w:val="15"/>
              </w:rPr>
              <w:t>+8.08pp</w:t>
            </w:r>
          </w:p>
        </w:tc>
      </w:tr>
    </w:tbl>
    <w:p>
      <w:pPr>
        <w:spacing w:line="276" w:lineRule="auto" w:after="0"/>
        <w:ind w:firstLine="380"/>
      </w:pPr>
      <w:r>
        <w:rPr>
          <w:rFonts w:ascii="SimSun" w:hAnsi="SimSun" w:eastAsia="SimSun"/>
          <w:b w:val="0"/>
          <w:sz w:val="19"/>
        </w:rPr>
        <w:t>在相同268张有标签样本条件下，FixMatch将测试准确率从73.86%提升到81.94%，提升8.08个百分点；相对于标签减少造成的23.59个百分点损失，恢复了约34.27%的精度损失。该结果说明，无标签样本能够通过高置信度伪标签与一致性约束为模型提供额外训练信息。</w:t>
      </w:r>
    </w:p>
    <w:p>
      <w:pPr>
        <w:spacing w:line="276" w:lineRule="auto" w:after="0"/>
        <w:ind w:firstLine="380"/>
      </w:pPr>
      <w:r>
        <w:rPr>
          <w:rFonts w:ascii="SimSun" w:hAnsi="SimSun" w:eastAsia="SimSun"/>
          <w:b w:val="0"/>
          <w:sz w:val="19"/>
        </w:rPr>
        <w:t>同时，FixMatch仍比全标签监督低15.51个百分点，说明半监督学习能够缓解标签不足，但不能完全替代真实标签。总体而言，三组实验形成了“全标签最高、少标签明显下降、半监督部分恢复”的清晰结果，实验达到了实践二关于有限标签影响与半监督改进效果的验证目的。</w:t>
      </w:r>
    </w:p>
    <w:p>
      <w:pPr>
        <w:spacing w:before="160" w:after="60"/>
      </w:pPr>
      <w:r>
        <w:rPr>
          <w:rFonts w:ascii="SimHei" w:hAnsi="SimHei" w:eastAsia="SimHei"/>
          <w:b/>
          <w:sz w:val="24"/>
        </w:rPr>
        <w:t>2.5 环境问题与解决过程</w:t>
      </w:r>
    </w:p>
    <w:p>
      <w:pPr>
        <w:spacing w:line="276" w:lineRule="auto" w:after="0"/>
        <w:ind w:firstLine="380"/>
      </w:pPr>
      <w:r>
        <w:rPr>
          <w:rFonts w:ascii="SimSun" w:hAnsi="SimSun" w:eastAsia="SimSun"/>
          <w:b w:val="0"/>
          <w:sz w:val="19"/>
        </w:rPr>
        <w:t>实验环境为Python和PyTorch。数据集中图像尺寸不完全一致，因此在数据读取阶段统一转换为灰度图并缩放到128×128；为降低torchvision版本不匹配风险，代码中自定义ImageFolder和常用图像增强操作；少量标签训练样本过少时，半监督训练采用有标签样本重采样，并使用0.95置信度阈值筛选伪标签，以减少错误伪标签带来的干扰。</w:t>
      </w:r>
    </w:p>
    <w:p>
      <w:pPr>
        <w:spacing w:before="160" w:after="60"/>
      </w:pPr>
      <w:r>
        <w:rPr>
          <w:rFonts w:ascii="SimHei" w:hAnsi="SimHei" w:eastAsia="SimHei"/>
          <w:b/>
          <w:sz w:val="24"/>
        </w:rPr>
        <w:t>参考文献</w:t>
      </w:r>
    </w:p>
    <w:p>
      <w:pPr>
        <w:spacing w:line="276" w:lineRule="auto" w:after="0"/>
      </w:pPr>
      <w:r>
        <w:rPr>
          <w:rFonts w:ascii="SimSun" w:hAnsi="SimSun" w:eastAsia="SimSun"/>
          <w:b w:val="0"/>
          <w:sz w:val="17"/>
        </w:rPr>
        <w:t>[1] Sohn K, Berthelot D, Li C L, et al. FixMatch: Simplifying Semi-Supervised Learning with Consistency and Confidence. NeurIPS, 2020.</w:t>
      </w:r>
    </w:p>
    <w:p>
      <w:pPr>
        <w:spacing w:line="276" w:lineRule="auto" w:after="0"/>
      </w:pPr>
      <w:r>
        <w:rPr>
          <w:rFonts w:ascii="SimSun" w:hAnsi="SimSun" w:eastAsia="SimSun"/>
          <w:b w:val="0"/>
          <w:sz w:val="17"/>
        </w:rPr>
        <w:t>[2] He K, Zhang X, Ren S, Sun J. Deep Residual Learning for Image Recognition. CVPR, 2016.</w:t>
      </w:r>
    </w:p>
    <w:sectPr w:rsidR="00FC693F" w:rsidRPr="0006063C" w:rsidSect="00034616">
      <w:headerReference w:type="default" r:id="rId9"/>
      <w:footerReference w:type="default" r:id="rId10"/>
      <w:pgSz w:w="12240" w:h="15840"/>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SimSun"/>
        <w:b/>
        <w:sz w:val="17"/>
      </w:rPr>
      <w:t>《人工智能开发实训 II》非卷面试题答题文档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SimSun" w:hAnsi="SimSun" w:eastAsia="SimSu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