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钉钉与金蝶云星空</w:t>
        <w:br/>
        <w:t>数据同步服务报价单</w:t>
      </w:r>
    </w:p>
    <w:p>
      <w:r>
        <w:rPr>
          <w:b w:val="0"/>
        </w:rPr>
        <w:t>报价编号：【填写】    报价日期：【年/月/日】    有效期至：【年/月/日】</w:t>
      </w:r>
    </w:p>
    <w:p>
      <w:r>
        <w:rPr>
          <w:b w:val="0"/>
        </w:rPr>
        <w:t>致：【客户公司全称】</w:t>
        <w:br/>
        <w:t>报价方：【服务提供方全称】</w:t>
        <w:br/>
        <w:t>联系人：【姓名】    电话：【填写】    邮箱：【填写】</w:t>
      </w:r>
    </w:p>
    <w:p>
      <w:r>
        <w:rPr>
          <w:b w:val="0"/>
        </w:rPr>
        <w:t>本报价用于金蝶云星空数据同步至钉钉 AI 表格的插件订阅及实施服务。采购范围、套餐权益和交付要求以下表及双方确认的配置清单为准。</w:t>
      </w:r>
    </w:p>
    <w:p>
      <w:pPr>
        <w:pStyle w:val="Heading1"/>
      </w:pPr>
      <w:r>
        <w:t>一  本次采购范围</w:t>
      </w:r>
    </w:p>
    <w:p>
      <w:r>
        <w:rPr>
          <w:b w:val="0"/>
        </w:rPr>
        <w:t>采购套餐：【套餐名称】    订阅期限：【】个月    钉钉企业：【名称及 CorpId】</w:t>
        <w:br/>
        <w:t>金蝶版本与账套：【填写】    目标钉钉表格：【填写】</w:t>
      </w:r>
    </w:p>
    <w:p>
      <w:r>
        <w:rPr>
          <w:b w:val="0"/>
        </w:rPr>
        <w:t>套餐权益：绑定表单【】个；单次同步上限【】行；月度额度【无则填无】；同步触发方式及频率【填写】。明细模式按输出明细行计量；其他计量、重试和超限规则须在配置清单确认。</w:t>
      </w:r>
    </w:p>
    <w:p>
      <w:pPr>
        <w:pStyle w:val="Heading1"/>
      </w:pPr>
      <w:r>
        <w:t>二  费用明细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798"/>
        <w:gridCol w:w="907"/>
        <w:gridCol w:w="1757"/>
        <w:gridCol w:w="1814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计价及范围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9"/>
              </w:rPr>
              <w:t>含税单价</w:t>
              <w:br/>
              <w:t>人民币元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9"/>
              </w:rPr>
              <w:t>含税金额</w:t>
              <w:br/>
              <w:t>人民币元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插件订阅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【套餐】／【计费周期】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首次实施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连接配置、表单与字段核对</w:t>
              <w:br/>
              <w:t>覆盖【】个表单，远程实施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【】次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培训与支持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培训【】次；支持期限【】</w:t>
              <w:br/>
              <w:t>□已含订阅费  □单独收费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选购增项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已确认的增项【编号及名称】</w:t>
              <w:br/>
              <w:t>未选项目不计入总价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费用合计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以上含税金额之和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【A】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优惠金额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优惠条件：【填写；无则填0】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【B】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本次报价总额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含税应付总额＝A－B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【C】</w:t>
            </w:r>
          </w:p>
        </w:tc>
      </w:tr>
    </w:tbl>
    <w:p>
      <w:r>
        <w:rPr>
          <w:b w:val="0"/>
        </w:rPr>
        <w:t>人民币大写：【填写】。币种：人民币；发票类型：【填写】；适用税率：【】%。各项单价和金额按含税口径填写；如税率不同，请逐项注明。不含税金额【】元，税额【】元，价税合计应与总额一致。</w:t>
      </w:r>
    </w:p>
    <w:p>
      <w:r>
        <w:br w:type="page"/>
      </w:r>
    </w:p>
    <w:p>
      <w:pPr>
        <w:pStyle w:val="Heading1"/>
      </w:pPr>
      <w:r>
        <w:t>三  交付内容与实施安排</w:t>
      </w:r>
    </w:p>
    <w:p>
      <w:r>
        <w:rPr>
          <w:b w:val="0"/>
        </w:rPr>
        <w:t>标准交付包括订阅开通、约定金蝶访问配置、支持表单及字段核对、约定表头或明细同步设置、筛选与排序设置、操作说明及必要验收测试。表单清单及特殊字段转换要求：【填写或注明附件版本】。</w:t>
      </w:r>
    </w:p>
    <w:p>
      <w:r>
        <w:rPr>
          <w:b w:val="0"/>
        </w:rPr>
        <w:t>计划工期：【】个工作日，自付款条件满足、甲方提供完整授权与可访问环境且双方确认配置清单之日起计算。客户资料或环境延误时，双方书面调整交付日期。</w:t>
      </w:r>
    </w:p>
    <w:p>
      <w:r>
        <w:rPr>
          <w:b w:val="0"/>
        </w:rPr>
        <w:t>验收要求：指定账套和表单连接正常；按约定转换规则，样本【】条与源数据一致；明细关联、筛选排序、分页和限额提示符合配置清单。验收期【】个工作日，不符合项由双方记录并确认修复计划。</w:t>
      </w:r>
    </w:p>
    <w:p>
      <w:pPr>
        <w:pStyle w:val="Heading1"/>
      </w:pPr>
      <w:r>
        <w:t>四  可选增项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5102"/>
        <w:gridCol w:w="1587"/>
        <w:gridCol w:w="2324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选项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sz w:val="19"/>
              </w:rPr>
              <w:t>服务及计价范围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9"/>
              </w:rPr>
              <w:t>计价单位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9"/>
              </w:rPr>
              <w:t>含税单价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□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新增表单适配【名称、版本及字段范围】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个表单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□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特殊字段转换或接口定制【需求编号】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项／人日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□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额外培训【时长及人数】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场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□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现场实施【地点及天数；差旅计费方式】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人日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【】元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□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私有化部署【另附部署、许可及运维方案】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套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/>
              <w:jc w:val="center"/>
            </w:pPr>
            <w:r>
              <w:rPr>
                <w:b w:val="0"/>
                <w:sz w:val="19"/>
              </w:rPr>
              <w:t>【】元</w:t>
            </w:r>
          </w:p>
        </w:tc>
      </w:tr>
    </w:tbl>
    <w:p>
      <w:r>
        <w:rPr>
          <w:b w:val="0"/>
        </w:rPr>
        <w:t>增项仅在勾选、明确数量与范围并经双方确认后计入第二部分费用。定制功能、私有化部署及其他增项需先确认技术可行性、交付内容、工期和验收标准。</w:t>
      </w:r>
    </w:p>
    <w:p>
      <w:pPr>
        <w:pStyle w:val="Heading1"/>
      </w:pPr>
      <w:r>
        <w:t>五  商务与服务条款</w:t>
      </w:r>
    </w:p>
    <w:p>
      <w:r>
        <w:rPr>
          <w:b w:val="0"/>
        </w:rPr>
        <w:t>1. 付款方式：□全额预付  □分期。首付款【】%／【】元，在【】后【】日内支付；尾款【】%／【】元，在【】后【】日内支付。合计应等于本次报价总额。</w:t>
      </w:r>
    </w:p>
    <w:p>
      <w:r>
        <w:rPr>
          <w:b w:val="0"/>
        </w:rPr>
        <w:t>2. 收款信息：开户名【】；开户行【】；账号【】。开票时间：【填写条件及期限】。线上支付须关联可核验订单，避免重复付款。</w:t>
      </w:r>
    </w:p>
    <w:p>
      <w:r>
        <w:rPr>
          <w:b w:val="0"/>
        </w:rPr>
        <w:t>3. 支持安排：服务时间【】；渠道【】；响应时限【】。可用性、恢复时限、备份及安全措施，以双方正式合同中的已确认承诺为准。</w:t>
      </w:r>
    </w:p>
    <w:p>
      <w:r>
        <w:rPr>
          <w:b w:val="0"/>
        </w:rPr>
        <w:t>4. 未包含费用：钉钉与金蝶许可及接口授权、客户网络与硬件费用；未列入明细的历史数据清洗、现场差旅、双向同步、向金蝶写入或审核单据、源码交付。特别包含事项：【无则填无】。</w:t>
      </w:r>
    </w:p>
    <w:p>
      <w:r>
        <w:rPr>
          <w:b w:val="0"/>
        </w:rPr>
        <w:t>5. 续费与变更：后续续费价格及期限另行确认；升级、降级、增购和超额费用须经客户授权确认。报价有效期内，已确认范围和价格按本报价执行；范围变化需书面重新报价。</w:t>
      </w:r>
    </w:p>
    <w:p>
      <w:r>
        <w:rPr>
          <w:b w:val="0"/>
        </w:rPr>
        <w:t>6. 本报价供商务确认，正式服务的生效、退款、数据处理、保密与违约责任以双方签署的服务合同为准。客户确认采购时，应同时补齐报价及配置清单中的空白项。</w:t>
      </w:r>
    </w:p>
    <w:p>
      <w:pPr>
        <w:pStyle w:val="Heading1"/>
      </w:pPr>
      <w:r>
        <w:t>六  报价与采购确认</w:t>
      </w:r>
    </w:p>
    <w:p>
      <w:r>
        <w:rPr>
          <w:b w:val="0"/>
        </w:rPr>
        <w:t>报价方盖章或授权代表：【】    日期：【】</w:t>
        <w:br/>
        <w:t>客户确认盖章或授权代表：【】    日期：【】</w:t>
        <w:br/>
        <w:t>客户选定套餐及增项编号：【】    确认含税总额：【】元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钉钉与金蝶云星空数据同步服务报价单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