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0EA" w:rsidRPr="003970EA" w:rsidRDefault="003970EA" w:rsidP="003970EA">
      <w:pPr>
        <w:widowControl/>
        <w:spacing w:before="100" w:beforeAutospacing="1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在上两篇中，我们介绍了多种常见的评估方法和性能度量标准，这样我们就可以根据数据集以及模型任务的特征，选择出最合适的评估和性能度量方法来计算出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学习器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测试误差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。但由于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测试误差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受到很多因素的影响，例如：算法随机性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例如常见的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K-Means)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或测试集本身的选择，使得同一模型每次得到的结果不尽相同，同时测试误差是作为泛化误差的近似，并不能代表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学习器真实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的泛化性能，那如何对单个或多个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学习器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在不同或相同测试集上的性能度量结果做比较呢？这就是比较检验。最后偏差与方差是解释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学习器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泛化性能的一种重要工具。本篇延续上一篇的内容，主要讨论了比较检验、方差与偏差。</w:t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##</w:t>
      </w:r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2.6 </w:t>
      </w:r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比较检验</w:t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在比较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学习器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泛化性能的过程中，统计假设检验（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hypothesis test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）为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学习器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性能比较提供了重要依据，即若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A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在某测试集上的性能优于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B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，那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A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学习器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比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B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好的把握有多大。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为方便论述，本篇中都是以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错误率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作为性能度量的标准。</w:t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###</w:t>
      </w:r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2.6.1 </w:t>
      </w:r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假设检验</w:t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假设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指的是对样本总体的分布或已知分布中某个参数值的一种猜想，例如：假设总体服从泊松分布，或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假设正态总体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的期望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u=u0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。回到本篇中，我们可以通过测试获得测试错误率，但直观上测试错误率和泛化错误率相差不会太远，因此可以通过测试错误率来推测泛化错误率的分布，这就是一种假设检验。</w:t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bookmarkStart w:id="0" w:name="_GoBack"/>
      <w:r w:rsidRPr="003970EA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5319584" cy="7088101"/>
            <wp:effectExtent l="0" t="0" r="0" b="0"/>
            <wp:docPr id="13" name="图片 13" descr="1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334" cy="710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5010785" cy="3324225"/>
            <wp:effectExtent l="0" t="0" r="0" b="9525"/>
            <wp:docPr id="12" name="图片 12" descr="2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4627880" cy="1445895"/>
            <wp:effectExtent l="0" t="0" r="1270" b="1905"/>
            <wp:docPr id="11" name="图片 11" descr="3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###</w:t>
      </w:r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2.6.2 </w:t>
      </w:r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交叉验证</w:t>
      </w:r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t</w:t>
      </w:r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检验</w:t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138989" cy="2909793"/>
            <wp:effectExtent l="0" t="0" r="5080" b="5080"/>
            <wp:docPr id="10" name="图片 10" descr="4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421" cy="29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###</w:t>
      </w:r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2.6.3 </w:t>
      </w:r>
      <w:proofErr w:type="spellStart"/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McNemar</w:t>
      </w:r>
      <w:proofErr w:type="spellEnd"/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检验</w:t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MaNemar</w:t>
      </w:r>
      <w:proofErr w:type="spell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主要用于二分类问题，与成对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t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检验一样也是用于比较两个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学习器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的性能大小。主要思想是：若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两学习器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的性能相同，则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A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预测正确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B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预测错误数应等于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B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预测错误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A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预测正确数，即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e01=e10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，且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|e01-e10|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服从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e01+e10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）分布。</w:t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4312285" cy="1724025"/>
            <wp:effectExtent l="0" t="0" r="0" b="9525"/>
            <wp:docPr id="9" name="图片 9" descr="5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因此，如下所示的变量服从自由度为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的卡方分布，即服从标准正态分布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0,1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）的随机变量的平方和，下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式只有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一个变量，故自由度为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，检验的方法同上：做出假设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--&gt;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求出满足显著度的临界点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--&gt;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给出拒绝域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--&gt;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验证假设。</w:t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3169285" cy="864870"/>
            <wp:effectExtent l="0" t="0" r="0" b="0"/>
            <wp:docPr id="8" name="图片 8" descr="6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###</w:t>
      </w:r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2.6.4 Friedman</w:t>
      </w:r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检验与</w:t>
      </w:r>
      <w:proofErr w:type="spellStart"/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Nemenyi</w:t>
      </w:r>
      <w:proofErr w:type="spellEnd"/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后续检验</w:t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上述的三种检验都只能在一组数据集上，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F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检验则可以在多组数据集进行多个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学习器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性能的比较，基本思想是在同一组数据集上，根据测试结果（例：测试错误率）对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学习器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的性能进行排序，赋予序值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1,2,3.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..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，相同则平分序值，如下图所示：</w:t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5832475" cy="2038985"/>
            <wp:effectExtent l="0" t="0" r="0" b="0"/>
            <wp:docPr id="7" name="图片 7" descr="7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若学习器的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性能相同，则它们的平均序值应该相同，且第</w:t>
      </w:r>
      <w:proofErr w:type="spell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i</w:t>
      </w:r>
      <w:proofErr w:type="spellEnd"/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算法的平均序值</w:t>
      </w:r>
      <w:proofErr w:type="spell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ri</w:t>
      </w:r>
      <w:proofErr w:type="spell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服从正态分布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（（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k+1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/2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，（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k+1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(k-1)/12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），则有：</w:t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3873878" cy="1356224"/>
            <wp:effectExtent l="0" t="0" r="0" b="0"/>
            <wp:docPr id="6" name="图片 6" descr="8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23" cy="136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2335530" cy="760095"/>
            <wp:effectExtent l="0" t="0" r="7620" b="1905"/>
            <wp:docPr id="5" name="图片 5" descr="9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服从自由度为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k-1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(k-1)(N-1)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F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分布。下面是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F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检验常用的临界值：</w:t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5787666" cy="4016049"/>
            <wp:effectExtent l="0" t="0" r="3810" b="3810"/>
            <wp:docPr id="4" name="图片 4" descr="10.pn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.pn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712" cy="402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若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“H0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：所有算法的性能相同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这个假设被拒绝，则需要进行后续检验，来得到具体的算法之间的差异。常用的就是</w:t>
      </w:r>
      <w:proofErr w:type="spell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Nemenyi</w:t>
      </w:r>
      <w:proofErr w:type="spell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后续检验。</w:t>
      </w:r>
      <w:proofErr w:type="spell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Nemenyi</w:t>
      </w:r>
      <w:proofErr w:type="spell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检验计算出平均序值差别的临界值域，下表是常用的</w:t>
      </w:r>
      <w:proofErr w:type="spell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qa</w:t>
      </w:r>
      <w:proofErr w:type="spell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值，若两个算法的平均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序值差超出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了临界值域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CD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，则相应的置信度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1-α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拒绝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两个算法性能相同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的假设。</w:t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2440305" cy="784860"/>
            <wp:effectExtent l="0" t="0" r="0" b="0"/>
            <wp:docPr id="3" name="图片 3" descr="11.pn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.pn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646746" cy="1189560"/>
            <wp:effectExtent l="0" t="0" r="0" b="0"/>
            <wp:docPr id="2" name="图片 2" descr="12.pn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.pn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66" cy="12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##</w:t>
      </w:r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2.7 </w:t>
      </w:r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偏差与方差</w:t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偏差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方差分解是解释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学习器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泛化性能的重要工具。在学习算法中，偏差指的是预测的期望值与真实值的偏差，方差则是每一次预测值与预测值得期望之间的差均方。实际上，偏差体现了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学习器预测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的准确度，而方差体现了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学习器预测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的稳定性。通过对泛化误差的进行分解，可以得到：</w:t>
      </w:r>
    </w:p>
    <w:p w:rsidR="003970EA" w:rsidRPr="003970EA" w:rsidRDefault="003970EA" w:rsidP="003970E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期望泛化误差</w:t>
      </w:r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=</w:t>
      </w:r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方差</w:t>
      </w:r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+</w:t>
      </w:r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偏差</w:t>
      </w:r>
    </w:p>
    <w:p w:rsidR="003970EA" w:rsidRPr="003970EA" w:rsidRDefault="003970EA" w:rsidP="003970EA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偏差刻画</w:t>
      </w:r>
      <w:proofErr w:type="gramStart"/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学习器</w:t>
      </w:r>
      <w:proofErr w:type="gramEnd"/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的拟合能力</w:t>
      </w:r>
    </w:p>
    <w:p w:rsidR="003970EA" w:rsidRPr="003970EA" w:rsidRDefault="003970EA" w:rsidP="003970EA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方差体现</w:t>
      </w:r>
      <w:proofErr w:type="gramStart"/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学习器</w:t>
      </w:r>
      <w:proofErr w:type="gramEnd"/>
      <w:r w:rsidRPr="003970EA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的稳定性</w:t>
      </w:r>
    </w:p>
    <w:p w:rsidR="003970EA" w:rsidRPr="003970EA" w:rsidRDefault="003970EA" w:rsidP="003970E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易知：方差和偏差具有矛盾性，这就是常说的偏差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方差窘境（</w:t>
      </w:r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bias-variance </w:t>
      </w:r>
      <w:proofErr w:type="spell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dilamma</w:t>
      </w:r>
      <w:proofErr w:type="spell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），随着训练程度的提升，期望预测值与真实值之间的差异越来越小，即偏差越来越小，但是另一方面，随着训练程度加大，学习算法对数据集的波动越来越敏感，</w:t>
      </w:r>
      <w:proofErr w:type="gramStart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方差值</w:t>
      </w:r>
      <w:proofErr w:type="gramEnd"/>
      <w:r w:rsidRPr="003970EA">
        <w:rPr>
          <w:rFonts w:ascii="Segoe UI" w:eastAsia="宋体" w:hAnsi="Segoe UI" w:cs="Segoe UI"/>
          <w:color w:val="24292E"/>
          <w:kern w:val="0"/>
          <w:sz w:val="24"/>
          <w:szCs w:val="24"/>
        </w:rPr>
        <w:t>越来越大。换句话说：在欠拟合时，偏差主导泛化误差，而训练到一定程度后，偏差越来越小，方差主导了泛化误差。因此训练也不要贪杯，适度辄止。</w:t>
      </w:r>
    </w:p>
    <w:p w:rsidR="003970EA" w:rsidRPr="003970EA" w:rsidRDefault="003970EA" w:rsidP="003970EA">
      <w:pPr>
        <w:widowControl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0EA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4992370" cy="2298065"/>
            <wp:effectExtent l="0" t="0" r="0" b="6985"/>
            <wp:docPr id="1" name="图片 1" descr="13.pn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3.pn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EB" w:rsidRDefault="00C30FEB"/>
    <w:sectPr w:rsidR="00C30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FF4"/>
    <w:multiLevelType w:val="multilevel"/>
    <w:tmpl w:val="2AC4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EA"/>
    <w:rsid w:val="003970EA"/>
    <w:rsid w:val="00C3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6615B-F784-4058-A51E-631EDEBB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70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970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5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amo.githubusercontent.com/87d3499faebcdd87f7a3dfbb76960c3f56540edf/68747470733a2f2f692e6c6f6c692e6e65742f323031382f31302f31372f356263373231316132633766392e706e67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amo.githubusercontent.com/6f65145972de854f8c6a907b9d895390c8dbc3b5/68747470733a2f2f692e6c6f6c692e6e65742f323031382f31302f31372f356263373231316132363834632e706e67" TargetMode="External"/><Relationship Id="rId7" Type="http://schemas.openxmlformats.org/officeDocument/2006/relationships/hyperlink" Target="https://camo.githubusercontent.com/ffb3de580b60c702a9def565d496b0bc7c19d1ee/68747470733a2f2f692e6c6f6c692e6e65742f323031382f31302f31372f356263373231316135383137642e706e67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amo.githubusercontent.com/27deecaa93224a63efb8f32904c9bbcf01f400a0/68747470733a2f2f692e6c6f6c692e6e65742f323031382f31302f31372f356263373231316132646234352e706e67" TargetMode="External"/><Relationship Id="rId25" Type="http://schemas.openxmlformats.org/officeDocument/2006/relationships/hyperlink" Target="https://camo.githubusercontent.com/7885eb46ad618428ead0884dbdf9ccd85914b49e/68747470733a2f2f692e6c6f6c692e6e65742f323031382f31302f31372f356263373232323332393332622e706e6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camo.githubusercontent.com/102f96eb0fe1f486635c47c431d72970b5597d27/68747470733a2f2f692e6c6f6c692e6e65742f323031382f31302f31372f356263373232323334623039662e706e6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amo.githubusercontent.com/e16410e5cf7b5c5b98640214c8d7d2c3d7f24a84/68747470733a2f2f692e6c6f6c692e6e65742f323031382f31302f31372f356263373231316136386566392e706e67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hyperlink" Target="https://camo.githubusercontent.com/fcf4e2eb2ef5675a53a5f52d9e6e93e6f0c20198/68747470733a2f2f692e6c6f6c692e6e65742f323031382f31302f31372f356263373231316165643865332e706e67" TargetMode="External"/><Relationship Id="rId15" Type="http://schemas.openxmlformats.org/officeDocument/2006/relationships/hyperlink" Target="https://camo.githubusercontent.com/04366a38253151fd39cd057cec7e235b9c794cad/68747470733a2f2f692e6c6f6c692e6e65742f323031382f31302f31372f356263373231316133346539362e706e67" TargetMode="External"/><Relationship Id="rId23" Type="http://schemas.openxmlformats.org/officeDocument/2006/relationships/hyperlink" Target="https://camo.githubusercontent.com/215483236d944d007039e63e5fdd1f671cee359f/68747470733a2f2f692e6c6f6c692e6e65742f323031382f31302f31372f356263373231316137653366302e706e67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camo.githubusercontent.com/6f0120a3325e191657368bbb5fd0f4389123dbad/68747470733a2f2f692e6c6f6c692e6e65742f323031382f31302f31372f356263373231316134353334392e706e67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64529a74766f603b10be1f41f5c4c718bfab40d9/68747470733a2f2f692e6c6f6c692e6e65742f323031382f31302f31372f356263373231316133333662352e706e6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camo.githubusercontent.com/45817feed9c03c53c29d328c85586c0be48e0df1/68747470733a2f2f692e6c6f6c692e6e65742f323031382f31302f31372f356263373232323334383531392e706e67" TargetMode="External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241</Words>
  <Characters>1377</Characters>
  <Application>Microsoft Office Word</Application>
  <DocSecurity>0</DocSecurity>
  <Lines>11</Lines>
  <Paragraphs>3</Paragraphs>
  <ScaleCrop>false</ScaleCrop>
  <Company>游族网络股份有限公司（SZ.002174）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李渝方(森夏恩)</dc:creator>
  <cp:keywords/>
  <dc:description/>
  <cp:lastModifiedBy>李渝方(森夏恩)</cp:lastModifiedBy>
  <cp:revision>1</cp:revision>
  <dcterms:created xsi:type="dcterms:W3CDTF">2019-03-02T10:04:00Z</dcterms:created>
  <dcterms:modified xsi:type="dcterms:W3CDTF">2019-03-02T10:08:00Z</dcterms:modified>
</cp:coreProperties>
</file>