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援航项目实际实现与协作对接总文档</w:t>
      </w:r>
    </w:p>
    <w:p>
      <w:r>
        <w:rPr>
          <w:b w:val="0"/>
        </w:rPr>
        <w:t>版本：1.1　更新日期：2026年10月19日　产品阶段：V4指挥首页与离线策略增强</w:t>
      </w:r>
    </w:p>
    <w:p>
      <w:r>
        <w:rPr>
          <w:b w:val="0"/>
        </w:rPr>
        <w:t>代码基线：</w:t>
      </w:r>
      <w:r>
        <w:rPr>
          <w:rFonts w:ascii="Consolas" w:hAnsi="Consolas"/>
          <w:b w:val="0"/>
          <w:color w:val="234C54"/>
          <w:sz w:val="20"/>
        </w:rPr>
        <w:t>feat/mission-command-v4</w:t>
      </w:r>
      <w:r>
        <w:rPr>
          <w:b w:val="0"/>
        </w:rPr>
        <w:t xml:space="preserve">，核心功能提交 </w:t>
      </w:r>
      <w:r>
        <w:rPr>
          <w:rFonts w:ascii="Consolas" w:hAnsi="Consolas"/>
          <w:b w:val="0"/>
          <w:color w:val="234C54"/>
          <w:sz w:val="20"/>
        </w:rPr>
        <w:t>3ff456e</w:t>
      </w:r>
      <w:r>
        <w:rPr>
          <w:b w:val="0"/>
        </w:rPr>
        <w:t>及本分支后续界面修复；从V3文档提交</w:t>
      </w:r>
      <w:r>
        <w:rPr>
          <w:rFonts w:ascii="Consolas" w:hAnsi="Consolas"/>
          <w:b w:val="0"/>
          <w:color w:val="234C54"/>
          <w:sz w:val="20"/>
        </w:rPr>
        <w:t>f49911e</w:t>
      </w:r>
      <w:r>
        <w:rPr>
          <w:b w:val="0"/>
        </w:rPr>
        <w:t>出发。V4增加指挥首页、离线策略引擎、案例资产和接入中心，原有物理、联合通信、执行承诺与独立检查继续保留。文档版本、界面迭代V4、接口Schema版本</w:t>
      </w:r>
      <w:r>
        <w:rPr>
          <w:rFonts w:ascii="Consolas" w:hAnsi="Consolas"/>
          <w:b w:val="0"/>
          <w:color w:val="234C54"/>
          <w:sz w:val="20"/>
        </w:rPr>
        <w:t>0.1.0-draft</w:t>
      </w:r>
      <w:r>
        <w:rPr>
          <w:b w:val="0"/>
        </w:rPr>
        <w:t>是三个不同概念。契约清单仍为</w:t>
      </w:r>
      <w:r>
        <w:rPr>
          <w:rFonts w:ascii="Consolas" w:hAnsi="Consolas"/>
          <w:b w:val="0"/>
          <w:color w:val="234C54"/>
          <w:sz w:val="20"/>
        </w:rPr>
        <w:t>proposed</w:t>
      </w:r>
      <w:r>
        <w:rPr>
          <w:b w:val="0"/>
        </w:rPr>
        <w:t>，没有代替团队完成正式批准。</w:t>
      </w:r>
    </w:p>
    <w:p>
      <w:r>
        <w:rPr>
          <w:b w:val="0"/>
        </w:rPr>
        <w:t>本文面向项目负责人、接手开发的队友、没有聊天记忆的Codex，以及后续项目申报书、作品说明书和答辩材料的撰写者。只读本文可以了解项目定位、完整业务、关键算法、工程实现、当前证据和边界；修改代码时再按第20章定位机器契约和模块源文件。可直接复用的接手提示词在第21章，独立副本为</w:t>
      </w:r>
      <w:r>
        <w:rPr>
          <w:rFonts w:ascii="Consolas" w:hAnsi="Consolas"/>
          <w:b w:val="0"/>
          <w:color w:val="234C54"/>
          <w:sz w:val="20"/>
        </w:rPr>
        <w:t>prompts/06_CURRENT_PROJECT_HANDOFF.md</w:t>
      </w:r>
      <w:r>
        <w:rPr>
          <w:b w:val="0"/>
        </w:rPr>
        <w:t>。</w:t>
      </w:r>
    </w:p>
    <w:p>
      <w:pPr>
        <w:pStyle w:val="Heading1"/>
      </w:pPr>
      <w:r>
        <w:t>阅读目录</w:t>
      </w:r>
    </w:p>
    <w:tbl>
      <w:tblPr>
        <w:tblW w:type="auto" w:w="0"/>
        <w:tblLayout w:type="fixed"/>
        <w:tblLook w:firstColumn="1" w:firstRow="1" w:lastColumn="0" w:lastRow="0" w:noHBand="0" w:noVBand="1" w:val="04A0"/>
      </w:tblPr>
      <w:tblGrid>
        <w:gridCol w:w="4997"/>
        <w:gridCol w:w="4997"/>
      </w:tblGrid>
      <w:tr>
        <w:tc>
          <w:tcPr>
            <w:tcW w:type="dxa" w:w="4997"/>
          </w:tcPr>
          <w:p>
            <w:pPr>
              <w:spacing w:after="60" w:line="252" w:lineRule="auto"/>
            </w:pPr>
            <w:r>
              <w:rPr>
                <w:b w:val="0"/>
              </w:rPr>
              <w:t>1. 项目概述与使用场景</w:t>
            </w:r>
          </w:p>
        </w:tc>
        <w:tc>
          <w:tcPr>
            <w:tcW w:type="dxa" w:w="4997"/>
          </w:tcPr>
          <w:p>
            <w:pPr>
              <w:spacing w:after="60" w:line="252" w:lineRule="auto"/>
            </w:pPr>
            <w:r>
              <w:rPr>
                <w:b w:val="0"/>
              </w:rPr>
              <w:t>13. 业务仿真、设备接口和状态流</w:t>
            </w:r>
          </w:p>
        </w:tc>
      </w:tr>
      <w:tr>
        <w:tc>
          <w:tcPr>
            <w:tcW w:type="dxa" w:w="4997"/>
          </w:tcPr>
          <w:p>
            <w:pPr>
              <w:spacing w:after="60" w:line="252" w:lineRule="auto"/>
            </w:pPr>
            <w:r>
              <w:rPr>
                <w:b w:val="0"/>
              </w:rPr>
              <w:t>2. 原有研究基础与本项目新增工作</w:t>
            </w:r>
          </w:p>
        </w:tc>
        <w:tc>
          <w:tcPr>
            <w:tcW w:type="dxa" w:w="4997"/>
          </w:tcPr>
          <w:p>
            <w:pPr>
              <w:spacing w:after="60" w:line="252" w:lineRule="auto"/>
            </w:pPr>
            <w:r>
              <w:rPr>
                <w:b w:val="0"/>
              </w:rPr>
              <w:t>14. 前端页面与可视化实现</w:t>
            </w:r>
          </w:p>
        </w:tc>
      </w:tr>
      <w:tr>
        <w:tc>
          <w:tcPr>
            <w:tcW w:type="dxa" w:w="4997"/>
          </w:tcPr>
          <w:p>
            <w:pPr>
              <w:spacing w:after="60" w:line="252" w:lineRule="auto"/>
            </w:pPr>
            <w:r>
              <w:rPr>
                <w:b w:val="0"/>
              </w:rPr>
              <w:t>3. 当前功能与完整操作流程</w:t>
            </w:r>
          </w:p>
        </w:tc>
        <w:tc>
          <w:tcPr>
            <w:tcW w:type="dxa" w:w="4997"/>
          </w:tcPr>
          <w:p>
            <w:pPr>
              <w:spacing w:after="60" w:line="252" w:lineRule="auto"/>
            </w:pPr>
            <w:r>
              <w:rPr>
                <w:b w:val="0"/>
              </w:rPr>
              <w:t>15. 后端、数据库、异步任务与接口</w:t>
            </w:r>
          </w:p>
        </w:tc>
      </w:tr>
      <w:tr>
        <w:tc>
          <w:tcPr>
            <w:tcW w:type="dxa" w:w="4997"/>
          </w:tcPr>
          <w:p>
            <w:pPr>
              <w:spacing w:after="60" w:line="252" w:lineRule="auto"/>
            </w:pPr>
            <w:r>
              <w:rPr>
                <w:b w:val="0"/>
              </w:rPr>
              <w:t>4. 系统架构和技术栈</w:t>
            </w:r>
          </w:p>
        </w:tc>
        <w:tc>
          <w:tcPr>
            <w:tcW w:type="dxa" w:w="4997"/>
          </w:tcPr>
          <w:p>
            <w:pPr>
              <w:spacing w:after="60" w:line="252" w:lineRule="auto"/>
            </w:pPr>
            <w:r>
              <w:rPr>
                <w:b w:val="0"/>
              </w:rPr>
              <w:t>16. 已有实跑证据及其适用范围</w:t>
            </w:r>
          </w:p>
        </w:tc>
      </w:tr>
      <w:tr>
        <w:tc>
          <w:tcPr>
            <w:tcW w:type="dxa" w:w="4997"/>
          </w:tcPr>
          <w:p>
            <w:pPr>
              <w:spacing w:after="60" w:line="252" w:lineRule="auto"/>
            </w:pPr>
            <w:r>
              <w:rPr>
                <w:b w:val="0"/>
              </w:rPr>
              <w:t>5. 数据对象与不可破坏的不变量</w:t>
            </w:r>
          </w:p>
        </w:tc>
        <w:tc>
          <w:tcPr>
            <w:tcW w:type="dxa" w:w="4997"/>
          </w:tcPr>
          <w:p>
            <w:pPr>
              <w:spacing w:after="60" w:line="252" w:lineRule="auto"/>
            </w:pPr>
            <w:r>
              <w:rPr>
                <w:b w:val="0"/>
              </w:rPr>
              <w:t>17. 与最初开发方案的主要差异</w:t>
            </w:r>
          </w:p>
        </w:tc>
      </w:tr>
      <w:tr>
        <w:tc>
          <w:tcPr>
            <w:tcW w:type="dxa" w:w="4997"/>
          </w:tcPr>
          <w:p>
            <w:pPr>
              <w:spacing w:after="60" w:line="252" w:lineRule="auto"/>
            </w:pPr>
            <w:r>
              <w:rPr>
                <w:b w:val="0"/>
              </w:rPr>
              <w:t>6. 地图输入与空间模型</w:t>
            </w:r>
          </w:p>
        </w:tc>
        <w:tc>
          <w:tcPr>
            <w:tcW w:type="dxa" w:w="4997"/>
          </w:tcPr>
          <w:p>
            <w:pPr>
              <w:spacing w:after="60" w:line="252" w:lineRule="auto"/>
            </w:pPr>
            <w:r>
              <w:rPr>
                <w:b w:val="0"/>
              </w:rPr>
              <w:t>18. 可用于申报材料的项目与创新表述</w:t>
            </w:r>
          </w:p>
        </w:tc>
      </w:tr>
      <w:tr>
        <w:tc>
          <w:tcPr>
            <w:tcW w:type="dxa" w:w="4997"/>
          </w:tcPr>
          <w:p>
            <w:pPr>
              <w:spacing w:after="60" w:line="252" w:lineRule="auto"/>
            </w:pPr>
            <w:r>
              <w:rPr>
                <w:b w:val="0"/>
              </w:rPr>
              <w:t>7. 运输物理和能源模型</w:t>
            </w:r>
          </w:p>
        </w:tc>
        <w:tc>
          <w:tcPr>
            <w:tcW w:type="dxa" w:w="4997"/>
          </w:tcPr>
          <w:p>
            <w:pPr>
              <w:spacing w:after="60" w:line="252" w:lineRule="auto"/>
            </w:pPr>
            <w:r>
              <w:rPr>
                <w:b w:val="0"/>
              </w:rPr>
              <w:t>19. 部署、数据交接与日常运行</w:t>
            </w:r>
          </w:p>
        </w:tc>
      </w:tr>
      <w:tr>
        <w:tc>
          <w:tcPr>
            <w:tcW w:type="dxa" w:w="4997"/>
          </w:tcPr>
          <w:p>
            <w:pPr>
              <w:spacing w:after="60" w:line="252" w:lineRule="auto"/>
            </w:pPr>
            <w:r>
              <w:rPr>
                <w:b w:val="0"/>
              </w:rPr>
              <w:t>8. 优化目标与策略版本</w:t>
            </w:r>
          </w:p>
        </w:tc>
        <w:tc>
          <w:tcPr>
            <w:tcW w:type="dxa" w:w="4997"/>
          </w:tcPr>
          <w:p>
            <w:pPr>
              <w:spacing w:after="60" w:line="252" w:lineRule="auto"/>
            </w:pPr>
            <w:r>
              <w:rPr>
                <w:b w:val="0"/>
              </w:rPr>
              <w:t>20. 无记忆接手的阅读顺序和文件地图</w:t>
            </w:r>
          </w:p>
        </w:tc>
      </w:tr>
      <w:tr>
        <w:tc>
          <w:tcPr>
            <w:tcW w:type="dxa" w:w="4997"/>
          </w:tcPr>
          <w:p>
            <w:pPr>
              <w:spacing w:after="60" w:line="252" w:lineRule="auto"/>
            </w:pPr>
            <w:r>
              <w:rPr>
                <w:b w:val="0"/>
              </w:rPr>
              <w:t>9. 快速调度和有限路线池改进</w:t>
            </w:r>
          </w:p>
        </w:tc>
        <w:tc>
          <w:tcPr>
            <w:tcW w:type="dxa" w:w="4997"/>
          </w:tcPr>
          <w:p>
            <w:pPr>
              <w:spacing w:after="60" w:line="252" w:lineRule="auto"/>
            </w:pPr>
            <w:r>
              <w:rPr>
                <w:b w:val="0"/>
              </w:rPr>
              <w:t>21. 可直接交给队友Codex的提示词</w:t>
            </w:r>
          </w:p>
        </w:tc>
      </w:tr>
      <w:tr>
        <w:tc>
          <w:tcPr>
            <w:tcW w:type="dxa" w:w="4997"/>
          </w:tcPr>
          <w:p>
            <w:pPr>
              <w:spacing w:after="60" w:line="252" w:lineRule="auto"/>
            </w:pPr>
            <w:r>
              <w:rPr>
                <w:b w:val="0"/>
              </w:rPr>
              <w:t>10. 运输与通信联合调度</w:t>
            </w:r>
          </w:p>
        </w:tc>
        <w:tc>
          <w:tcPr>
            <w:tcW w:type="dxa" w:w="4997"/>
          </w:tcPr>
          <w:p>
            <w:pPr>
              <w:spacing w:after="60" w:line="252" w:lineRule="auto"/>
            </w:pPr>
            <w:r>
              <w:rPr>
                <w:b w:val="0"/>
              </w:rPr>
              <w:t>22. 后续工作与文档维护约定</w:t>
            </w:r>
          </w:p>
        </w:tc>
      </w:tr>
      <w:tr>
        <w:tc>
          <w:tcPr>
            <w:tcW w:type="dxa" w:w="4997"/>
          </w:tcPr>
          <w:p>
            <w:pPr>
              <w:spacing w:after="60" w:line="252" w:lineRule="auto"/>
            </w:pPr>
            <w:r>
              <w:rPr>
                <w:b w:val="0"/>
              </w:rPr>
              <w:t>11. 动态事件与保留执行承诺的修复</w:t>
            </w:r>
          </w:p>
        </w:tc>
        <w:tc>
          <w:tcPr>
            <w:tcW w:type="dxa" w:w="4997"/>
          </w:tcPr>
          <w:p>
            <w:pPr>
              <w:spacing w:after="60" w:line="252" w:lineRule="auto"/>
            </w:pPr>
            <w:r>
              <w:rPr>
                <w:b w:val="0"/>
              </w:rPr>
              <w:t>23. 术语、来源与事实核对说明</w:t>
            </w:r>
          </w:p>
        </w:tc>
      </w:tr>
      <w:tr>
        <w:tc>
          <w:tcPr>
            <w:tcW w:type="dxa" w:w="4997"/>
          </w:tcPr>
          <w:p>
            <w:pPr>
              <w:spacing w:after="60" w:line="252" w:lineRule="auto"/>
            </w:pPr>
            <w:r>
              <w:rPr>
                <w:b w:val="0"/>
              </w:rPr>
              <w:t>12. 资源诊断、反事实试算和演练评测</w:t>
            </w:r>
          </w:p>
        </w:tc>
        <w:tc>
          <w:tcPr>
            <w:tcW w:type="dxa" w:w="4997"/>
          </w:tcPr>
          <w:p>
            <w:pPr>
              <w:spacing w:after="60" w:line="252" w:lineRule="auto"/>
            </w:pPr>
            <w:r>
              <w:rPr>
                <w:b w:val="0"/>
              </w:rPr>
              <w:t>24. V4离线启发式与案例资产实现</w:t>
            </w:r>
          </w:p>
        </w:tc>
      </w:tr>
    </w:tbl>
    <w:p>
      <w:r>
        <w:br w:type="page"/>
      </w:r>
    </w:p>
    <w:p>
      <w:pPr>
        <w:pStyle w:val="Heading1"/>
      </w:pPr>
      <w:r>
        <w:t>1 项目概述与使用场景</w:t>
      </w:r>
    </w:p>
    <w:p>
      <w:pPr>
        <w:pStyle w:val="Heading2"/>
      </w:pPr>
      <w:r>
        <w:t>1.1 项目定位</w:t>
      </w:r>
    </w:p>
    <w:p>
      <w:r>
        <w:rPr>
          <w:b w:val="0"/>
        </w:rPr>
        <w:t>项目全称建议保持为“援航——面向灾害应急的无人机运输与通信协同调度系统”。当前软件是一套在Windows本机运行、支持离线计算的调度决策支持与业务演练系统。它把地图、需求、逐箱物资、异构运输机、独立电池、地面保障和通信中继统一到可追溯的输入快照，计算具体到箱件、架次、机体、电池和时刻的安排，并提供独立约束检查、方案比较、模拟执行、变化处理和复盘导出。</w:t>
      </w:r>
    </w:p>
    <w:p>
      <w:r>
        <w:rPr>
          <w:b w:val="0"/>
        </w:rPr>
        <w:t>它已经具备真实前后端和真实Python求解链路。用户修改有效输入后会产生新版本、新快照和新计算，不是只改变地图标签，也不是把论文答案作为固定返回值。当前执行模式是服务器业务仿真；没有连接真实飞控、没有完成SITL，也不是获得适航、无线电或空域许可的实飞控制系统。</w:t>
      </w:r>
    </w:p>
    <w:p>
      <w:pPr>
        <w:pStyle w:val="Heading2"/>
      </w:pPr>
      <w:r>
        <w:t>1.2 业务背景</w:t>
      </w:r>
    </w:p>
    <w:p>
      <w:r>
        <w:rPr>
          <w:b w:val="0"/>
        </w:rPr>
        <w:t>面向县域洪涝、山地断路等道路受阻情景，救援点分散，饮水、食品、医疗等物资需要按时抵达。设备数量有限，不同机型的载重、容积、速度和能源能力不同；同一机体可能轮换多块电池，返航后机体与电池也不会同时恢复可用。山区地形既改变爬升能耗，也可能遮挡网关链路，因此运输安排和中继服务不能各自独立绘制后再简单拼接。</w:t>
      </w:r>
    </w:p>
    <w:p>
      <w:r>
        <w:rPr>
          <w:b w:val="0"/>
        </w:rPr>
        <w:t>项目回答四个实际问题：现有物资和设备能否完成输入需求；每架无人机何时运哪些箱件、访问哪些点、使用哪块电池；条件变化后哪些未来任务受影响、如何保留已发生事实并调整；资源紧张时增加什么资源以及在当前模型下有什么变化。</w:t>
      </w:r>
    </w:p>
    <w:p>
      <w:r>
        <w:rPr>
          <w:b w:val="0"/>
        </w:rPr>
        <w:t>主要使用者是调度人员、物资与设备保障人员、算法研究与演练评测人员。当前部署没有多用户身份认证和角色权限平台，左下头像仅为本浏览器的姓名、团队、职责与配色设置。</w:t>
      </w:r>
    </w:p>
    <w:p>
      <w:pPr>
        <w:pStyle w:val="Heading2"/>
      </w:pPr>
      <w:r>
        <w:t>1.3 当前范围</w:t>
      </w:r>
    </w:p>
    <w:p>
      <w:r>
        <w:rPr>
          <w:b w:val="0"/>
        </w:rPr>
        <w:t>核心范围是单基地、不可拆箱、完整需求保障、确定性题设物理、异构机体与独立能源周转、地形净空、静态限制区、可选地面容量、可选通信协同，以及运输模式中的受控动态修复。默认小场景为5个需求点、32箱；保留15个需求点、80箱的原题输入和联合通信案例。模板每次创建独立输入，随后仍需真实求解。</w:t>
      </w:r>
    </w:p>
    <w:p>
      <w:r>
        <w:rPr>
          <w:b w:val="0"/>
        </w:rPr>
        <w:t>不在当前完成范围内的内容包括：居民公共通信业务、多基地和移动补给车、完整多机四维避碰、实测风场与动力学、真实飞控、学习模型训练、完整概率鲁棒优化和航片自动建图。这些不是从任务板删除的功能，而是待继续研究或依赖外部条件的工作。</w:t>
      </w:r>
    </w:p>
    <w:p>
      <w:pPr>
        <w:pStyle w:val="Heading1"/>
      </w:pPr>
      <w:r>
        <w:t>2 原有研究基础与本项目新增工作</w:t>
      </w:r>
    </w:p>
    <w:p>
      <w:pPr>
        <w:pStyle w:val="Heading2"/>
      </w:pPr>
      <w:r>
        <w:t>2.1 数学建模基础</w:t>
      </w:r>
    </w:p>
    <w:p>
      <w:r>
        <w:rPr>
          <w:b w:val="0"/>
        </w:rPr>
        <w:t>原题与论文提供单基地救援运输的模型、15点80箱数据、三型8架运输机、14块同型兼容运输电池、2架专用中继机和6套中继能源组件，以及DEM、链路参数和历史提交结果。研究主要分为四部分：</w:t>
      </w:r>
    </w:p>
    <w:tbl>
      <w:tblPr>
        <w:tblStyle w:val="TableGrid"/>
        <w:tblW w:type="auto" w:w="0"/>
        <w:jc w:val="center"/>
        <w:tblLayout w:type="fixed"/>
        <w:tblLook w:firstColumn="1" w:firstRow="1" w:lastColumn="0" w:lastRow="0" w:noHBand="0" w:noVBand="1" w:val="04A0"/>
      </w:tblPr>
      <w:tblGrid>
        <w:gridCol w:w="1728"/>
        <w:gridCol w:w="4032"/>
        <w:gridCol w:w="4234"/>
      </w:tblGrid>
      <w:tr>
        <w:trPr>
          <w:tblHeader/>
          <w:cantSplit/>
        </w:trPr>
        <w:tc>
          <w:tcPr>
            <w:tcW w:type="dxa" w:w="1728"/>
            <w:vAlign w:val="center"/>
            <w:shd w:fill="EAF0F0"/>
          </w:tcPr>
          <w:p>
            <w:pPr>
              <w:keepNext/>
              <w:spacing w:before="60" w:after="60" w:line="259" w:lineRule="auto"/>
            </w:pPr>
            <w:r>
              <w:rPr>
                <w:b/>
                <w:sz w:val="20"/>
              </w:rPr>
              <w:t>研究部分</w:t>
            </w:r>
          </w:p>
        </w:tc>
        <w:tc>
          <w:tcPr>
            <w:tcW w:type="dxa" w:w="4032"/>
            <w:vAlign w:val="center"/>
            <w:shd w:fill="EAF0F0"/>
          </w:tcPr>
          <w:p>
            <w:pPr>
              <w:keepNext/>
              <w:spacing w:before="60" w:after="60" w:line="259" w:lineRule="auto"/>
            </w:pPr>
            <w:r>
              <w:rPr>
                <w:b/>
                <w:sz w:val="20"/>
              </w:rPr>
              <w:t>原问题</w:t>
            </w:r>
          </w:p>
        </w:tc>
        <w:tc>
          <w:tcPr>
            <w:tcW w:type="dxa" w:w="4234"/>
            <w:vAlign w:val="center"/>
            <w:shd w:fill="EAF0F0"/>
          </w:tcPr>
          <w:p>
            <w:pPr>
              <w:keepNext/>
              <w:spacing w:before="60" w:after="60" w:line="259" w:lineRule="auto"/>
            </w:pPr>
            <w:r>
              <w:rPr>
                <w:b/>
                <w:sz w:val="20"/>
              </w:rPr>
              <w:t>当前继承方式</w:t>
            </w:r>
          </w:p>
        </w:tc>
      </w:tr>
      <w:tr>
        <w:trPr>
          <w:cantSplit/>
        </w:trPr>
        <w:tc>
          <w:tcPr>
            <w:tcW w:type="dxa" w:w="1728"/>
            <w:vAlign w:val="center"/>
          </w:tcPr>
          <w:p>
            <w:pPr>
              <w:spacing w:before="60" w:after="60" w:line="259" w:lineRule="auto"/>
            </w:pPr>
            <w:r>
              <w:rPr>
                <w:b w:val="0"/>
                <w:sz w:val="20"/>
              </w:rPr>
              <w:t>Q1单点运输</w:t>
            </w:r>
          </w:p>
        </w:tc>
        <w:tc>
          <w:tcPr>
            <w:tcW w:type="dxa" w:w="4032"/>
            <w:vAlign w:val="center"/>
          </w:tcPr>
          <w:p>
            <w:pPr>
              <w:spacing w:before="60" w:after="60" w:line="259" w:lineRule="auto"/>
            </w:pPr>
            <w:r>
              <w:rPr>
                <w:b w:val="0"/>
                <w:sz w:val="20"/>
              </w:rPr>
              <w:t>每批仅访问一个点，确定安全载重与箱件组批</w:t>
            </w:r>
          </w:p>
        </w:tc>
        <w:tc>
          <w:tcPr>
            <w:tcW w:type="dxa" w:w="4234"/>
            <w:vAlign w:val="center"/>
          </w:tcPr>
          <w:p>
            <w:pPr>
              <w:spacing w:before="60" w:after="60" w:line="259" w:lineRule="auto"/>
            </w:pPr>
            <w:r>
              <w:rPr>
                <w:b w:val="0"/>
                <w:sz w:val="20"/>
              </w:rPr>
              <w:t>单点能力诊断、有限计数枚举与动态规划、余量敏感性</w:t>
            </w:r>
          </w:p>
        </w:tc>
      </w:tr>
      <w:tr>
        <w:trPr>
          <w:cantSplit/>
        </w:trPr>
        <w:tc>
          <w:tcPr>
            <w:tcW w:type="dxa" w:w="1728"/>
            <w:vAlign w:val="center"/>
          </w:tcPr>
          <w:p>
            <w:pPr>
              <w:spacing w:before="60" w:after="60" w:line="259" w:lineRule="auto"/>
            </w:pPr>
            <w:r>
              <w:rPr>
                <w:b w:val="0"/>
                <w:sz w:val="20"/>
              </w:rPr>
              <w:t>Q2运输排程</w:t>
            </w:r>
          </w:p>
        </w:tc>
        <w:tc>
          <w:tcPr>
            <w:tcW w:type="dxa" w:w="4032"/>
            <w:vAlign w:val="center"/>
          </w:tcPr>
          <w:p>
            <w:pPr>
              <w:spacing w:before="60" w:after="60" w:line="259" w:lineRule="auto"/>
            </w:pPr>
            <w:r>
              <w:rPr>
                <w:b w:val="0"/>
                <w:sz w:val="20"/>
              </w:rPr>
              <w:t>多点架次、实体机体与共享电池、时间和能源取舍</w:t>
            </w:r>
          </w:p>
        </w:tc>
        <w:tc>
          <w:tcPr>
            <w:tcW w:type="dxa" w:w="4234"/>
            <w:vAlign w:val="center"/>
          </w:tcPr>
          <w:p>
            <w:pPr>
              <w:spacing w:before="60" w:after="60" w:line="259" w:lineRule="auto"/>
            </w:pPr>
            <w:r>
              <w:rPr>
                <w:b w:val="0"/>
                <w:sz w:val="20"/>
              </w:rPr>
              <w:t>当前运输求解器、双资源时序、完整逐箱安排</w:t>
            </w:r>
          </w:p>
        </w:tc>
      </w:tr>
      <w:tr>
        <w:trPr>
          <w:cantSplit/>
        </w:trPr>
        <w:tc>
          <w:tcPr>
            <w:tcW w:type="dxa" w:w="1728"/>
            <w:vAlign w:val="center"/>
          </w:tcPr>
          <w:p>
            <w:pPr>
              <w:spacing w:before="60" w:after="60" w:line="259" w:lineRule="auto"/>
            </w:pPr>
            <w:r>
              <w:rPr>
                <w:b w:val="0"/>
                <w:sz w:val="20"/>
              </w:rPr>
              <w:t>Q3通信协同</w:t>
            </w:r>
          </w:p>
        </w:tc>
        <w:tc>
          <w:tcPr>
            <w:tcW w:type="dxa" w:w="4032"/>
            <w:vAlign w:val="center"/>
          </w:tcPr>
          <w:p>
            <w:pPr>
              <w:spacing w:before="60" w:after="60" w:line="259" w:lineRule="auto"/>
            </w:pPr>
            <w:r>
              <w:rPr>
                <w:b w:val="0"/>
                <w:sz w:val="20"/>
              </w:rPr>
              <w:t>地形影响下的直连与单中继两跳、驻点与能源轮换</w:t>
            </w:r>
          </w:p>
        </w:tc>
        <w:tc>
          <w:tcPr>
            <w:tcW w:type="dxa" w:w="4234"/>
            <w:vAlign w:val="center"/>
          </w:tcPr>
          <w:p>
            <w:pPr>
              <w:spacing w:before="60" w:after="60" w:line="259" w:lineRule="auto"/>
            </w:pPr>
            <w:r>
              <w:rPr>
                <w:b w:val="0"/>
                <w:sz w:val="20"/>
              </w:rPr>
              <w:t>当前有限候选联合排程、连续时间覆盖重建与中继展示</w:t>
            </w:r>
          </w:p>
        </w:tc>
      </w:tr>
      <w:tr>
        <w:trPr>
          <w:cantSplit/>
        </w:trPr>
        <w:tc>
          <w:tcPr>
            <w:tcW w:type="dxa" w:w="1728"/>
            <w:vAlign w:val="center"/>
          </w:tcPr>
          <w:p>
            <w:pPr>
              <w:spacing w:before="60" w:after="60" w:line="259" w:lineRule="auto"/>
            </w:pPr>
            <w:r>
              <w:rPr>
                <w:b w:val="0"/>
                <w:sz w:val="20"/>
              </w:rPr>
              <w:t>Q4资源配置</w:t>
            </w:r>
          </w:p>
        </w:tc>
        <w:tc>
          <w:tcPr>
            <w:tcW w:type="dxa" w:w="4032"/>
            <w:vAlign w:val="center"/>
          </w:tcPr>
          <w:p>
            <w:pPr>
              <w:spacing w:before="60" w:after="60" w:line="259" w:lineRule="auto"/>
            </w:pPr>
            <w:r>
              <w:rPr>
                <w:b w:val="0"/>
                <w:sz w:val="20"/>
              </w:rPr>
              <w:t>冻结同版Q3任务及通信来源后划分专属资源组</w:t>
            </w:r>
          </w:p>
        </w:tc>
        <w:tc>
          <w:tcPr>
            <w:tcW w:type="dxa" w:w="4234"/>
            <w:vAlign w:val="center"/>
          </w:tcPr>
          <w:p>
            <w:pPr>
              <w:spacing w:before="60" w:after="60" w:line="259" w:lineRule="auto"/>
            </w:pPr>
            <w:r>
              <w:rPr>
                <w:b w:val="0"/>
                <w:sz w:val="20"/>
              </w:rPr>
              <w:t>冻结任务分区、并发峰值、共享损失和库存缺口分析</w:t>
            </w:r>
          </w:p>
        </w:tc>
      </w:tr>
    </w:tbl>
    <w:p>
      <w:pPr>
        <w:spacing w:after="20"/>
      </w:pPr>
    </w:p>
    <w:p>
      <w:r>
        <w:rPr>
          <w:b w:val="0"/>
        </w:rPr>
        <w:t>资料在</w:t>
      </w:r>
      <w:r>
        <w:rPr>
          <w:rFonts w:ascii="Consolas" w:hAnsi="Consolas"/>
          <w:b w:val="0"/>
          <w:color w:val="234C54"/>
          <w:sz w:val="20"/>
        </w:rPr>
        <w:t>references/modeling/</w:t>
      </w:r>
      <w:r>
        <w:rPr>
          <w:b w:val="0"/>
        </w:rPr>
        <w:t>，论文为</w:t>
      </w:r>
      <w:r>
        <w:rPr>
          <w:rFonts w:ascii="Consolas" w:hAnsi="Consolas"/>
          <w:b w:val="0"/>
          <w:color w:val="234C54"/>
          <w:sz w:val="20"/>
        </w:rPr>
        <w:t>paper.pdf</w:t>
      </w:r>
      <w:r>
        <w:rPr>
          <w:b w:val="0"/>
        </w:rPr>
        <w:t>，答案为</w:t>
      </w:r>
      <w:r>
        <w:rPr>
          <w:rFonts w:ascii="Consolas" w:hAnsi="Consolas"/>
          <w:b w:val="0"/>
          <w:color w:val="234C54"/>
          <w:sz w:val="20"/>
        </w:rPr>
        <w:t>answers.xlsx</w:t>
      </w:r>
      <w:r>
        <w:rPr>
          <w:b w:val="0"/>
        </w:rPr>
        <w:t>。历史数值只作为研究与回归参照；当前计划必须由当前快照重新计算并通过独立检查。不能要求短预算启发式逐位复现历史长时间搜索的最好结果。</w:t>
      </w:r>
    </w:p>
    <w:p>
      <w:r>
        <w:rPr>
          <w:b w:val="0"/>
        </w:rPr>
        <w:t>原题适配器将原表中的箱件映射为单箱需求，保留医疗与首箱硬截止，并保留每箱质量、体积和原点位归属；通用用户输入则允许一条需求对应多箱实物。不能把“原题80箱”误写成“系统最多80条需求”，也不能把所有物资统一改成无硬截止。</w:t>
      </w:r>
    </w:p>
    <w:p>
      <w:pPr>
        <w:pStyle w:val="Heading2"/>
      </w:pPr>
      <w:r>
        <w:t>2.2 新增的工程与产品工作</w:t>
      </w:r>
    </w:p>
    <w:p>
      <w:r>
        <w:rPr>
          <w:b w:val="0"/>
        </w:rPr>
        <w:t>本项目将数模研究转为可替换输入的软件：统一契约和类型、严格导入、不可变快照、独立求解进程、版本与幂等、确认预约事务、动态事件、保留承诺的执行残余重排、模拟账本、设备状态读回、任务工作空间、地图与表格联动、真实三维与剖面、通信空间采样、资源试算、实验记录、导出与本机备份。</w:t>
      </w:r>
    </w:p>
    <w:p>
      <w:r>
        <w:rPr>
          <w:b w:val="0"/>
        </w:rPr>
        <w:t>算法层新增或产品化的重点包括限时多起点可行构造、有限路线池改进、机体与电池资源依赖传播修复、静态限制区绕行、通用GeoTIFF绑定、地面容量约束、人工气象作业资格和释放下界处理。不能将所有原论文算法都写成本项目从零首创，也不能把通用地图、表格和后台组件称为独有技术。</w:t>
      </w:r>
    </w:p>
    <w:p>
      <w:pPr>
        <w:pStyle w:val="Heading1"/>
      </w:pPr>
      <w:r>
        <w:t>3 当前功能与完整操作流程</w:t>
      </w:r>
    </w:p>
    <w:p>
      <w:pPr>
        <w:pStyle w:val="Heading2"/>
      </w:pPr>
      <w:r>
        <w:t>3.1 产品入口</w:t>
      </w:r>
    </w:p>
    <w:p>
      <w:r>
        <w:rPr>
          <w:b w:val="0"/>
        </w:rPr>
        <w:t>全局导航为首页、救援任务、资源中心、演练评测；设置和帮助为次级入口。任务内部按“任务准备、方案规划、执行跟踪、复盘分析”四阶段组织。首页展示应用场景、运输通信协同示意、实际模板规模、算法依据和操作入口，动态背景可以关闭，也遵守系统减少动态效果设置。</w:t>
      </w:r>
    </w:p>
    <w:tbl>
      <w:tblPr>
        <w:tblStyle w:val="TableGrid"/>
        <w:tblW w:type="auto" w:w="0"/>
        <w:jc w:val="center"/>
        <w:tblLayout w:type="fixed"/>
        <w:tblLook w:firstColumn="1" w:firstRow="1" w:lastColumn="0" w:lastRow="0" w:noHBand="0" w:noVBand="1" w:val="04A0"/>
      </w:tblPr>
      <w:tblGrid>
        <w:gridCol w:w="1728"/>
        <w:gridCol w:w="4032"/>
        <w:gridCol w:w="4234"/>
      </w:tblGrid>
      <w:tr>
        <w:trPr>
          <w:tblHeader/>
          <w:cantSplit/>
        </w:trPr>
        <w:tc>
          <w:tcPr>
            <w:tcW w:type="dxa" w:w="1728"/>
            <w:vAlign w:val="center"/>
            <w:shd w:fill="EAF0F0"/>
          </w:tcPr>
          <w:p>
            <w:pPr>
              <w:keepNext/>
              <w:spacing w:before="60" w:after="60" w:line="259" w:lineRule="auto"/>
            </w:pPr>
            <w:r>
              <w:rPr>
                <w:b/>
                <w:sz w:val="20"/>
              </w:rPr>
              <w:t>区域</w:t>
            </w:r>
          </w:p>
        </w:tc>
        <w:tc>
          <w:tcPr>
            <w:tcW w:type="dxa" w:w="4032"/>
            <w:vAlign w:val="center"/>
            <w:shd w:fill="EAF0F0"/>
          </w:tcPr>
          <w:p>
            <w:pPr>
              <w:keepNext/>
              <w:spacing w:before="60" w:after="60" w:line="259" w:lineRule="auto"/>
            </w:pPr>
            <w:r>
              <w:rPr>
                <w:b/>
                <w:sz w:val="20"/>
              </w:rPr>
              <w:t>已有功能</w:t>
            </w:r>
          </w:p>
        </w:tc>
        <w:tc>
          <w:tcPr>
            <w:tcW w:type="dxa" w:w="4234"/>
            <w:vAlign w:val="center"/>
            <w:shd w:fill="EAF0F0"/>
          </w:tcPr>
          <w:p>
            <w:pPr>
              <w:keepNext/>
              <w:spacing w:before="60" w:after="60" w:line="259" w:lineRule="auto"/>
            </w:pPr>
            <w:r>
              <w:rPr>
                <w:b/>
                <w:sz w:val="20"/>
              </w:rPr>
              <w:t>主要输出或依据</w:t>
            </w:r>
          </w:p>
        </w:tc>
      </w:tr>
      <w:tr>
        <w:trPr>
          <w:cantSplit/>
        </w:trPr>
        <w:tc>
          <w:tcPr>
            <w:tcW w:type="dxa" w:w="1728"/>
            <w:vAlign w:val="center"/>
          </w:tcPr>
          <w:p>
            <w:pPr>
              <w:spacing w:before="60" w:after="60" w:line="259" w:lineRule="auto"/>
            </w:pPr>
            <w:r>
              <w:rPr>
                <w:b w:val="0"/>
                <w:sz w:val="20"/>
              </w:rPr>
              <w:t>任务准备</w:t>
            </w:r>
          </w:p>
        </w:tc>
        <w:tc>
          <w:tcPr>
            <w:tcW w:type="dxa" w:w="4032"/>
            <w:vAlign w:val="center"/>
          </w:tcPr>
          <w:p>
            <w:pPr>
              <w:spacing w:before="60" w:after="60" w:line="259" w:lineRule="auto"/>
            </w:pPr>
            <w:r>
              <w:rPr>
                <w:b w:val="0"/>
                <w:sz w:val="20"/>
              </w:rPr>
              <w:t>区域基地、需求物资、机队保障、条件检查；草稿、模板、导入预览与保存</w:t>
            </w:r>
          </w:p>
        </w:tc>
        <w:tc>
          <w:tcPr>
            <w:tcW w:type="dxa" w:w="4234"/>
            <w:vAlign w:val="center"/>
          </w:tcPr>
          <w:p>
            <w:pPr>
              <w:spacing w:before="60" w:after="60" w:line="259" w:lineRule="auto"/>
            </w:pPr>
            <w:r>
              <w:rPr>
                <w:b w:val="0"/>
                <w:sz w:val="20"/>
              </w:rPr>
              <w:t>版本化Scenario和持久PreflightReport</w:t>
            </w:r>
          </w:p>
        </w:tc>
      </w:tr>
      <w:tr>
        <w:trPr>
          <w:cantSplit/>
        </w:trPr>
        <w:tc>
          <w:tcPr>
            <w:tcW w:type="dxa" w:w="1728"/>
            <w:vAlign w:val="center"/>
          </w:tcPr>
          <w:p>
            <w:pPr>
              <w:spacing w:before="60" w:after="60" w:line="259" w:lineRule="auto"/>
            </w:pPr>
            <w:r>
              <w:rPr>
                <w:b w:val="0"/>
                <w:sz w:val="20"/>
              </w:rPr>
              <w:t>方案规划</w:t>
            </w:r>
          </w:p>
        </w:tc>
        <w:tc>
          <w:tcPr>
            <w:tcW w:type="dxa" w:w="4032"/>
            <w:vAlign w:val="center"/>
          </w:tcPr>
          <w:p>
            <w:pPr>
              <w:spacing w:before="60" w:after="60" w:line="259" w:lineRule="auto"/>
            </w:pPr>
            <w:r>
              <w:rPr>
                <w:b w:val="0"/>
                <w:sz w:val="20"/>
              </w:rPr>
              <w:t>实际计算、三种偏好、进一步搜索、同条件比较、检查与确认</w:t>
            </w:r>
          </w:p>
        </w:tc>
        <w:tc>
          <w:tcPr>
            <w:tcW w:type="dxa" w:w="4234"/>
            <w:vAlign w:val="center"/>
          </w:tcPr>
          <w:p>
            <w:pPr>
              <w:spacing w:before="60" w:after="60" w:line="259" w:lineRule="auto"/>
            </w:pPr>
            <w:r>
              <w:rPr>
                <w:b w:val="0"/>
                <w:sz w:val="20"/>
              </w:rPr>
              <w:t>绑定Snapshot的Plan和Validation</w:t>
            </w:r>
          </w:p>
        </w:tc>
      </w:tr>
      <w:tr>
        <w:trPr>
          <w:cantSplit/>
        </w:trPr>
        <w:tc>
          <w:tcPr>
            <w:tcW w:type="dxa" w:w="1728"/>
            <w:vAlign w:val="center"/>
          </w:tcPr>
          <w:p>
            <w:pPr>
              <w:spacing w:before="60" w:after="60" w:line="259" w:lineRule="auto"/>
            </w:pPr>
            <w:r>
              <w:rPr>
                <w:b w:val="0"/>
                <w:sz w:val="20"/>
              </w:rPr>
              <w:t>调度安排</w:t>
            </w:r>
          </w:p>
        </w:tc>
        <w:tc>
          <w:tcPr>
            <w:tcW w:type="dxa" w:w="4032"/>
            <w:vAlign w:val="center"/>
          </w:tcPr>
          <w:p>
            <w:pPr>
              <w:spacing w:before="60" w:after="60" w:line="259" w:lineRule="auto"/>
            </w:pPr>
            <w:r>
              <w:rPr>
                <w:b w:val="0"/>
                <w:sz w:val="20"/>
              </w:rPr>
              <w:t>独立表格、逐架次/逐箱/中继/通信/资源、筛选搜索、详情与导出</w:t>
            </w:r>
          </w:p>
        </w:tc>
        <w:tc>
          <w:tcPr>
            <w:tcW w:type="dxa" w:w="4234"/>
            <w:vAlign w:val="center"/>
          </w:tcPr>
          <w:p>
            <w:pPr>
              <w:spacing w:before="60" w:after="60" w:line="259" w:lineRule="auto"/>
            </w:pPr>
            <w:r>
              <w:rPr>
                <w:b w:val="0"/>
                <w:sz w:val="20"/>
              </w:rPr>
              <w:t>当前Plan原文；六工作表Excel和CSV</w:t>
            </w:r>
          </w:p>
        </w:tc>
      </w:tr>
      <w:tr>
        <w:trPr>
          <w:cantSplit/>
        </w:trPr>
        <w:tc>
          <w:tcPr>
            <w:tcW w:type="dxa" w:w="1728"/>
            <w:vAlign w:val="center"/>
          </w:tcPr>
          <w:p>
            <w:pPr>
              <w:spacing w:before="60" w:after="60" w:line="259" w:lineRule="auto"/>
            </w:pPr>
            <w:r>
              <w:rPr>
                <w:b w:val="0"/>
                <w:sz w:val="20"/>
              </w:rPr>
              <w:t>地图与地形</w:t>
            </w:r>
          </w:p>
        </w:tc>
        <w:tc>
          <w:tcPr>
            <w:tcW w:type="dxa" w:w="4032"/>
            <w:vAlign w:val="center"/>
          </w:tcPr>
          <w:p>
            <w:pPr>
              <w:spacing w:before="60" w:after="60" w:line="259" w:lineRule="auto"/>
            </w:pPr>
            <w:r>
              <w:rPr>
                <w:b w:val="0"/>
                <w:sz w:val="20"/>
              </w:rPr>
              <w:t>地点角色、实际路线、限制区、选中联动、卫星切换、DEM曲面与升降剖面</w:t>
            </w:r>
          </w:p>
        </w:tc>
        <w:tc>
          <w:tcPr>
            <w:tcW w:type="dxa" w:w="4234"/>
            <w:vAlign w:val="center"/>
          </w:tcPr>
          <w:p>
            <w:pPr>
              <w:spacing w:before="60" w:after="60" w:line="259" w:lineRule="auto"/>
            </w:pPr>
            <w:r>
              <w:rPr>
                <w:b w:val="0"/>
                <w:sz w:val="20"/>
              </w:rPr>
              <w:t>原始DEM与实际阶段分析</w:t>
            </w:r>
          </w:p>
        </w:tc>
      </w:tr>
      <w:tr>
        <w:trPr>
          <w:cantSplit/>
        </w:trPr>
        <w:tc>
          <w:tcPr>
            <w:tcW w:type="dxa" w:w="1728"/>
            <w:vAlign w:val="center"/>
          </w:tcPr>
          <w:p>
            <w:pPr>
              <w:spacing w:before="60" w:after="60" w:line="259" w:lineRule="auto"/>
            </w:pPr>
            <w:r>
              <w:rPr>
                <w:b w:val="0"/>
                <w:sz w:val="20"/>
              </w:rPr>
              <w:t>通信协同</w:t>
            </w:r>
          </w:p>
        </w:tc>
        <w:tc>
          <w:tcPr>
            <w:tcW w:type="dxa" w:w="4032"/>
            <w:vAlign w:val="center"/>
          </w:tcPr>
          <w:p>
            <w:pPr>
              <w:spacing w:before="60" w:after="60" w:line="259" w:lineRule="auto"/>
            </w:pPr>
            <w:r>
              <w:rPr>
                <w:b w:val="0"/>
                <w:sz w:val="20"/>
              </w:rPr>
              <w:t>中继安排、服务时段、双跳关系、指定高度空间采样</w:t>
            </w:r>
          </w:p>
        </w:tc>
        <w:tc>
          <w:tcPr>
            <w:tcW w:type="dxa" w:w="4234"/>
            <w:vAlign w:val="center"/>
          </w:tcPr>
          <w:p>
            <w:pPr>
              <w:spacing w:before="60" w:after="60" w:line="259" w:lineRule="auto"/>
            </w:pPr>
            <w:r>
              <w:rPr>
                <w:b w:val="0"/>
                <w:sz w:val="20"/>
              </w:rPr>
              <w:t>连续窗口检查与单独离散空间报告</w:t>
            </w:r>
          </w:p>
        </w:tc>
      </w:tr>
      <w:tr>
        <w:trPr>
          <w:cantSplit/>
        </w:trPr>
        <w:tc>
          <w:tcPr>
            <w:tcW w:type="dxa" w:w="1728"/>
            <w:vAlign w:val="center"/>
          </w:tcPr>
          <w:p>
            <w:pPr>
              <w:spacing w:before="60" w:after="60" w:line="259" w:lineRule="auto"/>
            </w:pPr>
            <w:r>
              <w:rPr>
                <w:b w:val="0"/>
                <w:sz w:val="20"/>
              </w:rPr>
              <w:t>执行跟踪</w:t>
            </w:r>
          </w:p>
        </w:tc>
        <w:tc>
          <w:tcPr>
            <w:tcW w:type="dxa" w:w="4032"/>
            <w:vAlign w:val="center"/>
          </w:tcPr>
          <w:p>
            <w:pPr>
              <w:spacing w:before="60" w:after="60" w:line="259" w:lineRule="auto"/>
            </w:pPr>
            <w:r>
              <w:rPr>
                <w:b w:val="0"/>
                <w:sz w:val="20"/>
              </w:rPr>
              <w:t>服务器时钟、暂停与倍速、运输与返航状态、每机后续任务、事件和候选差异</w:t>
            </w:r>
          </w:p>
        </w:tc>
        <w:tc>
          <w:tcPr>
            <w:tcW w:type="dxa" w:w="4234"/>
            <w:vAlign w:val="center"/>
          </w:tcPr>
          <w:p>
            <w:pPr>
              <w:spacing w:before="60" w:after="60" w:line="259" w:lineRule="auto"/>
            </w:pPr>
            <w:r>
              <w:rPr>
                <w:b w:val="0"/>
                <w:sz w:val="20"/>
              </w:rPr>
              <w:t>持久事实、实际生效排程和模拟遥测</w:t>
            </w:r>
          </w:p>
        </w:tc>
      </w:tr>
      <w:tr>
        <w:trPr>
          <w:cantSplit/>
        </w:trPr>
        <w:tc>
          <w:tcPr>
            <w:tcW w:type="dxa" w:w="1728"/>
            <w:vAlign w:val="center"/>
          </w:tcPr>
          <w:p>
            <w:pPr>
              <w:spacing w:before="60" w:after="60" w:line="259" w:lineRule="auto"/>
            </w:pPr>
            <w:r>
              <w:rPr>
                <w:b w:val="0"/>
                <w:sz w:val="20"/>
              </w:rPr>
              <w:t>复盘与资源</w:t>
            </w:r>
          </w:p>
        </w:tc>
        <w:tc>
          <w:tcPr>
            <w:tcW w:type="dxa" w:w="4032"/>
            <w:vAlign w:val="center"/>
          </w:tcPr>
          <w:p>
            <w:pPr>
              <w:spacing w:before="60" w:after="60" w:line="259" w:lineRule="auto"/>
            </w:pPr>
            <w:r>
              <w:rPr>
                <w:b w:val="0"/>
                <w:sz w:val="20"/>
              </w:rPr>
              <w:t>计划对模拟交付、任务变更、资源占用、反事实试算、只读档案</w:t>
            </w:r>
          </w:p>
        </w:tc>
        <w:tc>
          <w:tcPr>
            <w:tcW w:type="dxa" w:w="4234"/>
            <w:vAlign w:val="center"/>
          </w:tcPr>
          <w:p>
            <w:pPr>
              <w:spacing w:before="60" w:after="60" w:line="259" w:lineRule="auto"/>
            </w:pPr>
            <w:r>
              <w:rPr>
                <w:b w:val="0"/>
                <w:sz w:val="20"/>
              </w:rPr>
              <w:t>账本事实、冻结输入及独立计算</w:t>
            </w:r>
          </w:p>
        </w:tc>
      </w:tr>
      <w:tr>
        <w:trPr>
          <w:cantSplit/>
        </w:trPr>
        <w:tc>
          <w:tcPr>
            <w:tcW w:type="dxa" w:w="1728"/>
            <w:vAlign w:val="center"/>
          </w:tcPr>
          <w:p>
            <w:pPr>
              <w:spacing w:before="60" w:after="60" w:line="259" w:lineRule="auto"/>
            </w:pPr>
            <w:r>
              <w:rPr>
                <w:b w:val="0"/>
                <w:sz w:val="20"/>
              </w:rPr>
              <w:t>演练评测</w:t>
            </w:r>
          </w:p>
        </w:tc>
        <w:tc>
          <w:tcPr>
            <w:tcW w:type="dxa" w:w="4032"/>
            <w:vAlign w:val="center"/>
          </w:tcPr>
          <w:p>
            <w:pPr>
              <w:spacing w:before="60" w:after="60" w:line="259" w:lineRule="auto"/>
            </w:pPr>
            <w:r>
              <w:rPr>
                <w:b w:val="0"/>
                <w:sz w:val="20"/>
              </w:rPr>
              <w:t>策略、搜索、执行残余修复方法对照；取消和原始结果导出</w:t>
            </w:r>
          </w:p>
        </w:tc>
        <w:tc>
          <w:tcPr>
            <w:tcW w:type="dxa" w:w="4234"/>
            <w:vAlign w:val="center"/>
          </w:tcPr>
          <w:p>
            <w:pPr>
              <w:spacing w:before="60" w:after="60" w:line="259" w:lineRule="auto"/>
            </w:pPr>
            <w:r>
              <w:rPr>
                <w:b w:val="0"/>
                <w:sz w:val="20"/>
              </w:rPr>
              <w:t>同条件独立快照、真实Worker、完整成功失败记录</w:t>
            </w:r>
          </w:p>
        </w:tc>
      </w:tr>
      <w:tr>
        <w:trPr>
          <w:cantSplit/>
        </w:trPr>
        <w:tc>
          <w:tcPr>
            <w:tcW w:type="dxa" w:w="1728"/>
            <w:vAlign w:val="center"/>
          </w:tcPr>
          <w:p>
            <w:pPr>
              <w:spacing w:before="60" w:after="60" w:line="259" w:lineRule="auto"/>
            </w:pPr>
            <w:r>
              <w:rPr>
                <w:b w:val="0"/>
                <w:sz w:val="20"/>
              </w:rPr>
              <w:t>使用帮助</w:t>
            </w:r>
          </w:p>
        </w:tc>
        <w:tc>
          <w:tcPr>
            <w:tcW w:type="dxa" w:w="4032"/>
            <w:vAlign w:val="center"/>
          </w:tcPr>
          <w:p>
            <w:pPr>
              <w:spacing w:before="60" w:after="60" w:line="259" w:lineRule="auto"/>
            </w:pPr>
            <w:r>
              <w:rPr>
                <w:b w:val="0"/>
                <w:sz w:val="20"/>
              </w:rPr>
              <w:t>分章节图文、约38秒实际操作短片、字幕、术语与页面跳转</w:t>
            </w:r>
          </w:p>
        </w:tc>
        <w:tc>
          <w:tcPr>
            <w:tcW w:type="dxa" w:w="4234"/>
            <w:vAlign w:val="center"/>
          </w:tcPr>
          <w:p>
            <w:pPr>
              <w:spacing w:before="60" w:after="60" w:line="259" w:lineRule="auto"/>
            </w:pPr>
            <w:r>
              <w:rPr>
                <w:b w:val="0"/>
                <w:sz w:val="20"/>
              </w:rPr>
              <w:t>本项目真实截图与录屏</w:t>
            </w:r>
          </w:p>
        </w:tc>
      </w:tr>
      <w:tr>
        <w:trPr>
          <w:cantSplit/>
        </w:trPr>
        <w:tc>
          <w:tcPr>
            <w:tcW w:type="dxa" w:w="1728"/>
            <w:vAlign w:val="center"/>
          </w:tcPr>
          <w:p>
            <w:pPr>
              <w:spacing w:before="60" w:after="60" w:line="259" w:lineRule="auto"/>
            </w:pPr>
            <w:r>
              <w:rPr>
                <w:b w:val="0"/>
                <w:sz w:val="20"/>
              </w:rPr>
              <w:t>首页与案例</w:t>
            </w:r>
          </w:p>
        </w:tc>
        <w:tc>
          <w:tcPr>
            <w:tcW w:type="dxa" w:w="4032"/>
            <w:vAlign w:val="center"/>
          </w:tcPr>
          <w:p>
            <w:pPr>
              <w:spacing w:before="60" w:after="60" w:line="259" w:lineRule="auto"/>
            </w:pPr>
            <w:r>
              <w:rPr>
                <w:b w:val="0"/>
                <w:sz w:val="20"/>
              </w:rPr>
              <w:t>全宽动态地形首页、四类有来源演练、本机任务资产与输入复用</w:t>
            </w:r>
          </w:p>
        </w:tc>
        <w:tc>
          <w:tcPr>
            <w:tcW w:type="dxa" w:w="4234"/>
            <w:vAlign w:val="center"/>
          </w:tcPr>
          <w:p>
            <w:pPr>
              <w:spacing w:before="60" w:after="60" w:line="259" w:lineRule="auto"/>
            </w:pPr>
            <w:r>
              <w:rPr>
                <w:b w:val="0"/>
                <w:sz w:val="20"/>
              </w:rPr>
              <w:t>真实DEM、数据库计数、创建来源和独立任务</w:t>
            </w:r>
          </w:p>
        </w:tc>
      </w:tr>
      <w:tr>
        <w:trPr>
          <w:cantSplit/>
        </w:trPr>
        <w:tc>
          <w:tcPr>
            <w:tcW w:type="dxa" w:w="1728"/>
            <w:vAlign w:val="center"/>
          </w:tcPr>
          <w:p>
            <w:pPr>
              <w:spacing w:before="60" w:after="60" w:line="259" w:lineRule="auto"/>
            </w:pPr>
            <w:r>
              <w:rPr>
                <w:b w:val="0"/>
                <w:sz w:val="20"/>
              </w:rPr>
              <w:t>算法引擎</w:t>
            </w:r>
          </w:p>
        </w:tc>
        <w:tc>
          <w:tcPr>
            <w:tcW w:type="dxa" w:w="4032"/>
            <w:vAlign w:val="center"/>
          </w:tcPr>
          <w:p>
            <w:pPr>
              <w:spacing w:before="60" w:after="60" w:line="259" w:lineRule="auto"/>
            </w:pPr>
            <w:r>
              <w:rPr>
                <w:b w:val="0"/>
                <w:sz w:val="20"/>
              </w:rPr>
              <w:t>标准与EOH可选、本地策略导入导出、同输入引擎对比</w:t>
            </w:r>
          </w:p>
        </w:tc>
        <w:tc>
          <w:tcPr>
            <w:tcW w:type="dxa" w:w="4234"/>
            <w:vAlign w:val="center"/>
          </w:tcPr>
          <w:p>
            <w:pPr>
              <w:spacing w:before="60" w:after="60" w:line="259" w:lineRule="auto"/>
            </w:pPr>
            <w:r>
              <w:rPr>
                <w:b w:val="0"/>
                <w:sz w:val="20"/>
              </w:rPr>
              <w:t>策略包版本/SHA256/来源/实际评分调用数</w:t>
            </w:r>
          </w:p>
        </w:tc>
      </w:tr>
      <w:tr>
        <w:trPr>
          <w:cantSplit/>
        </w:trPr>
        <w:tc>
          <w:tcPr>
            <w:tcW w:type="dxa" w:w="1728"/>
            <w:vAlign w:val="center"/>
          </w:tcPr>
          <w:p>
            <w:pPr>
              <w:spacing w:before="60" w:after="60" w:line="259" w:lineRule="auto"/>
            </w:pPr>
            <w:r>
              <w:rPr>
                <w:b w:val="0"/>
                <w:sz w:val="20"/>
              </w:rPr>
              <w:t>接入中心</w:t>
            </w:r>
          </w:p>
        </w:tc>
        <w:tc>
          <w:tcPr>
            <w:tcW w:type="dxa" w:w="4032"/>
            <w:vAlign w:val="center"/>
          </w:tcPr>
          <w:p>
            <w:pPr>
              <w:spacing w:before="60" w:after="60" w:line="259" w:lineRule="auto"/>
            </w:pPr>
            <w:r>
              <w:rPr>
                <w:b w:val="0"/>
                <w:sz w:val="20"/>
              </w:rPr>
              <w:t>已安装模拟适配器、实际接口目录、OpenAPI与配置导出</w:t>
            </w:r>
          </w:p>
        </w:tc>
        <w:tc>
          <w:tcPr>
            <w:tcW w:type="dxa" w:w="4234"/>
            <w:vAlign w:val="center"/>
          </w:tcPr>
          <w:p>
            <w:pPr>
              <w:spacing w:before="60" w:after="60" w:line="259" w:lineRule="auto"/>
            </w:pPr>
            <w:r>
              <w:rPr>
                <w:b w:val="0"/>
                <w:sz w:val="20"/>
              </w:rPr>
              <w:t>当前模式与设备状态如实读取，不自动连接真机</w:t>
            </w:r>
          </w:p>
        </w:tc>
      </w:tr>
    </w:tbl>
    <w:p>
      <w:pPr>
        <w:spacing w:after="20"/>
      </w:pPr>
    </w:p>
    <w:p>
      <w:pPr>
        <w:pStyle w:val="Heading2"/>
      </w:pPr>
      <w:r>
        <w:t>3.2 新用户走通一次任务</w:t>
      </w:r>
    </w:p>
    <w:p>
      <w:pPr>
        <w:ind w:left="230" w:hanging="230"/>
      </w:pPr>
      <w:r>
        <w:rPr>
          <w:b w:val="0"/>
        </w:rPr>
        <w:t>1. 从首页新建任务。首次建议使用小规模运输演练；要看中继可以选择协同演练。空白任务需自行补齐输入。</w:t>
      </w:r>
    </w:p>
    <w:p>
      <w:pPr>
        <w:ind w:left="230" w:hanging="230"/>
      </w:pPr>
      <w:r>
        <w:rPr>
          <w:b w:val="0"/>
        </w:rPr>
        <w:t>2. 依次填写或导入区域基地、需求物资、机队电池与保障。DEM需绑定到场景；卫星图只是观察底图。</w:t>
      </w:r>
    </w:p>
    <w:p>
      <w:pPr>
        <w:ind w:left="230" w:hanging="230"/>
      </w:pPr>
      <w:r>
        <w:rPr>
          <w:b w:val="0"/>
        </w:rPr>
        <w:t>3. 运行条件检查，处理阻断项。步骤打勾表示当前填写或检查状态，不表示已经得到可行计划。</w:t>
      </w:r>
    </w:p>
    <w:p>
      <w:pPr>
        <w:ind w:left="230" w:hanging="230"/>
      </w:pPr>
      <w:r>
        <w:rPr>
          <w:b w:val="0"/>
        </w:rPr>
        <w:t>4. 保存有效输入并开始计算。后台创建不可变快照和Job；进度显示实际阶段、已用时间与候选数。</w:t>
      </w:r>
    </w:p>
    <w:p>
      <w:pPr>
        <w:ind w:left="230" w:hanging="230"/>
      </w:pPr>
      <w:r>
        <w:rPr>
          <w:b w:val="0"/>
        </w:rPr>
        <w:t>5. 在规划地图查看路线，进入独立调度安排表核对每箱、每架次、访问顺序、时间、电池与能源；地形与通信页查看相应证据。</w:t>
      </w:r>
    </w:p>
    <w:p>
      <w:pPr>
        <w:ind w:left="230" w:hanging="230"/>
      </w:pPr>
      <w:r>
        <w:rPr>
          <w:b w:val="0"/>
        </w:rPr>
        <w:t>6. 如需取舍，在同一快照和相同目标规则下计算不同偏好。结果可能相同，系统不能为了区别卡片编造差异。</w:t>
      </w:r>
    </w:p>
    <w:p>
      <w:pPr>
        <w:ind w:left="230" w:hanging="230"/>
      </w:pPr>
      <w:r>
        <w:rPr>
          <w:b w:val="0"/>
        </w:rPr>
        <w:t>7. 确认通过检查且没有过期的方案。确认只记录计划与预约，不代表已经上传设备或开始执行。</w:t>
      </w:r>
    </w:p>
    <w:p>
      <w:pPr>
        <w:ind w:left="230" w:hanging="230"/>
      </w:pPr>
      <w:r>
        <w:rPr>
          <w:b w:val="0"/>
        </w:rPr>
        <w:t>8. 创建模拟实例并开始演练。服务器推进时间和事实；页面动画只展示这些状态。</w:t>
      </w:r>
    </w:p>
    <w:p>
      <w:pPr>
        <w:ind w:left="230" w:hanging="230"/>
      </w:pPr>
      <w:r>
        <w:rPr>
          <w:b w:val="0"/>
        </w:rPr>
        <w:t>9. 运输模式下暂停，提交可支持的变化，查看影响，生成新候选，对比差异后采纳。已交付和已开始架次保留。</w:t>
      </w:r>
    </w:p>
    <w:p>
      <w:pPr>
        <w:ind w:left="230" w:hanging="230"/>
      </w:pPr>
      <w:r>
        <w:rPr>
          <w:b w:val="0"/>
        </w:rPr>
        <w:t>10. 查看复盘、安排表与资源时序，导出结果或执行档案。只读回放不会产生新交付。</w:t>
      </w:r>
    </w:p>
    <w:p>
      <w:r>
        <w:rPr>
          <w:b w:val="0"/>
        </w:rPr>
        <w:t>执行中的联合通信方案当前可查看和模拟，不能进入尚不支持的在途联合修复。已有ready/running/paused执行实例的任务不能用普通“确认方案”覆盖预约，必须走执行调整或新建副本。</w:t>
      </w:r>
    </w:p>
    <w:p>
      <w:pPr>
        <w:pStyle w:val="Heading1"/>
      </w:pPr>
      <w:r>
        <w:t>4 系统架构和技术栈</w:t>
      </w:r>
    </w:p>
    <w:p>
      <w:pPr>
        <w:pStyle w:val="Heading2"/>
      </w:pPr>
      <w:r>
        <w:t>4.1 架构</w:t>
      </w:r>
    </w:p>
    <w:p>
      <w:pPr>
        <w:keepNext/>
        <w:spacing w:after="40" w:line="252" w:lineRule="auto"/>
      </w:pPr>
      <w:r>
        <w:rPr>
          <w:rFonts w:ascii="Arial" w:hAnsi="Arial" w:eastAsia="微软雅黑"/>
          <w:sz w:val="21"/>
        </w:rPr>
        <w:t>浏览器任务工作空间</w:t>
      </w:r>
    </w:p>
    <w:p>
      <w:pPr>
        <w:keepNext/>
        <w:spacing w:after="40" w:line="252" w:lineRule="auto"/>
      </w:pPr>
      <w:r>
        <w:rPr>
          <w:rFonts w:ascii="Arial" w:hAnsi="Arial" w:eastAsia="微软雅黑"/>
          <w:sz w:val="21"/>
        </w:rPr>
        <w:t xml:space="preserve">  React 页面、MapLibre地图、ECharts图表、Three地形、表格与甘特</w:t>
      </w:r>
    </w:p>
    <w:p>
      <w:pPr>
        <w:keepNext/>
        <w:spacing w:after="40" w:line="252" w:lineRule="auto"/>
      </w:pPr>
      <w:r>
        <w:rPr>
          <w:rFonts w:ascii="Arial" w:hAnsi="Arial" w:eastAsia="微软雅黑"/>
          <w:sz w:val="21"/>
        </w:rPr>
        <w:t xml:space="preserve">                          ↓ HTTP / SSE</w:t>
      </w:r>
    </w:p>
    <w:p>
      <w:pPr>
        <w:keepNext/>
        <w:spacing w:after="40" w:line="252" w:lineRule="auto"/>
      </w:pPr>
      <w:r>
        <w:rPr>
          <w:rFonts w:ascii="Arial" w:hAnsi="Arial" w:eastAsia="微软雅黑"/>
          <w:sz w:val="21"/>
        </w:rPr>
        <w:t>FastAPI 业务服务</w:t>
      </w:r>
    </w:p>
    <w:p>
      <w:pPr>
        <w:keepNext/>
        <w:spacing w:after="40" w:line="252" w:lineRule="auto"/>
      </w:pPr>
      <w:r>
        <w:rPr>
          <w:rFonts w:ascii="Arial" w:hAnsi="Arial" w:eastAsia="微软雅黑"/>
          <w:sz w:val="21"/>
        </w:rPr>
        <w:t xml:space="preserve">  任务草稿、输入校验、版本快照、Job、确认、执行、事件、档案、导出</w:t>
      </w:r>
    </w:p>
    <w:p>
      <w:pPr>
        <w:keepNext/>
        <w:spacing w:after="40" w:line="252" w:lineRule="auto"/>
      </w:pPr>
      <w:r>
        <w:rPr>
          <w:rFonts w:ascii="Arial" w:hAnsi="Arial" w:eastAsia="微软雅黑"/>
          <w:sz w:val="21"/>
        </w:rPr>
        <w:t xml:space="preserve">             ↓ SQLAlchemy/SQLite           ↓ 独立Worker子进程</w:t>
      </w:r>
    </w:p>
    <w:p>
      <w:pPr>
        <w:keepNext/>
        <w:spacing w:after="40" w:line="252" w:lineRule="auto"/>
      </w:pPr>
      <w:r>
        <w:rPr>
          <w:rFonts w:ascii="Arial" w:hAnsi="Arial" w:eastAsia="微软雅黑"/>
          <w:sz w:val="21"/>
        </w:rPr>
        <w:t xml:space="preserve">  版本与计划、预约、模拟账本                纯Python Solver</w:t>
      </w:r>
    </w:p>
    <w:p>
      <w:pPr>
        <w:keepNext/>
        <w:spacing w:after="40" w:line="252" w:lineRule="auto"/>
      </w:pPr>
      <w:r>
        <w:rPr>
          <w:rFonts w:ascii="Arial" w:hAnsi="Arial" w:eastAsia="微软雅黑"/>
          <w:sz w:val="21"/>
        </w:rPr>
        <w:t xml:space="preserve">  指令与模拟设备状态                         空间与物理 → 候选 → 排程 → 独立检查</w:t>
      </w:r>
    </w:p>
    <w:p>
      <w:pPr>
        <w:keepNext/>
        <w:spacing w:after="40" w:line="252" w:lineRule="auto"/>
      </w:pPr>
      <w:r>
        <w:rPr>
          <w:rFonts w:ascii="Arial" w:hAnsi="Arial" w:eastAsia="微软雅黑"/>
          <w:sz w:val="21"/>
        </w:rPr>
        <w:t xml:space="preserve">             ↓                               ↓</w:t>
      </w:r>
    </w:p>
    <w:p>
      <w:pPr>
        <w:keepNext w:val="0"/>
        <w:spacing w:after="40" w:line="252" w:lineRule="auto"/>
      </w:pPr>
      <w:r>
        <w:rPr>
          <w:rFonts w:ascii="Arial" w:hAnsi="Arial" w:eastAsia="微软雅黑"/>
          <w:sz w:val="21"/>
        </w:rPr>
        <w:t xml:space="preserve">  runtime 数据与内容寻址DEM              JSON Outcome / Plan / Diagnostics</w:t>
      </w:r>
    </w:p>
    <w:p>
      <w:r>
        <w:rPr>
          <w:b w:val="0"/>
        </w:rPr>
        <w:t>算法不导入后端或访问数据库，前端不重新实现一套业务能耗与SOC。后端负责身份、版本、权限边界和生命周期；Solver负责声明模型内的计算；独立检查器从冻结输入重建关键约束。分析读取Plan原Snapshot，不能拿当前已修改的场景替换历史输入。</w:t>
      </w:r>
    </w:p>
    <w:p>
      <w:pPr>
        <w:pStyle w:val="Heading2"/>
      </w:pPr>
      <w:r>
        <w:t>4.2 技术栈</w:t>
      </w:r>
    </w:p>
    <w:tbl>
      <w:tblPr>
        <w:tblStyle w:val="TableGrid"/>
        <w:tblW w:type="auto" w:w="0"/>
        <w:jc w:val="center"/>
        <w:tblLayout w:type="fixed"/>
        <w:tblLook w:firstColumn="1" w:firstRow="1" w:lastColumn="0" w:lastRow="0" w:noHBand="0" w:noVBand="1" w:val="04A0"/>
      </w:tblPr>
      <w:tblGrid>
        <w:gridCol w:w="1728"/>
        <w:gridCol w:w="4032"/>
        <w:gridCol w:w="4234"/>
      </w:tblGrid>
      <w:tr>
        <w:trPr>
          <w:tblHeader/>
          <w:cantSplit/>
        </w:trPr>
        <w:tc>
          <w:tcPr>
            <w:tcW w:type="dxa" w:w="1728"/>
            <w:vAlign w:val="center"/>
            <w:shd w:fill="EAF0F0"/>
          </w:tcPr>
          <w:p>
            <w:pPr>
              <w:keepNext/>
              <w:spacing w:before="60" w:after="60" w:line="259" w:lineRule="auto"/>
            </w:pPr>
            <w:r>
              <w:rPr>
                <w:b/>
                <w:sz w:val="20"/>
              </w:rPr>
              <w:t>层</w:t>
            </w:r>
          </w:p>
        </w:tc>
        <w:tc>
          <w:tcPr>
            <w:tcW w:type="dxa" w:w="4032"/>
            <w:vAlign w:val="center"/>
            <w:shd w:fill="EAF0F0"/>
          </w:tcPr>
          <w:p>
            <w:pPr>
              <w:keepNext/>
              <w:spacing w:before="60" w:after="60" w:line="259" w:lineRule="auto"/>
            </w:pPr>
            <w:r>
              <w:rPr>
                <w:b/>
                <w:sz w:val="20"/>
              </w:rPr>
              <w:t>实际使用</w:t>
            </w:r>
          </w:p>
        </w:tc>
        <w:tc>
          <w:tcPr>
            <w:tcW w:type="dxa" w:w="4234"/>
            <w:vAlign w:val="center"/>
            <w:shd w:fill="EAF0F0"/>
          </w:tcPr>
          <w:p>
            <w:pPr>
              <w:keepNext/>
              <w:spacing w:before="60" w:after="60" w:line="259" w:lineRule="auto"/>
            </w:pPr>
            <w:r>
              <w:rPr>
                <w:b/>
                <w:sz w:val="20"/>
              </w:rPr>
              <w:t>用途</w:t>
            </w:r>
          </w:p>
        </w:tc>
      </w:tr>
      <w:tr>
        <w:trPr>
          <w:cantSplit/>
        </w:trPr>
        <w:tc>
          <w:tcPr>
            <w:tcW w:type="dxa" w:w="1728"/>
            <w:vAlign w:val="center"/>
          </w:tcPr>
          <w:p>
            <w:pPr>
              <w:spacing w:before="60" w:after="60" w:line="259" w:lineRule="auto"/>
            </w:pPr>
            <w:r>
              <w:rPr>
                <w:b w:val="0"/>
                <w:sz w:val="20"/>
              </w:rPr>
              <w:t>前端</w:t>
            </w:r>
          </w:p>
        </w:tc>
        <w:tc>
          <w:tcPr>
            <w:tcW w:type="dxa" w:w="4032"/>
            <w:vAlign w:val="center"/>
          </w:tcPr>
          <w:p>
            <w:pPr>
              <w:spacing w:before="60" w:after="60" w:line="259" w:lineRule="auto"/>
            </w:pPr>
            <w:r>
              <w:rPr>
                <w:b w:val="0"/>
                <w:sz w:val="20"/>
              </w:rPr>
              <w:t>React 19、TypeScript 5.9、Vite 8、TanStack Query、Radix、Tailwind/CSS、Lucide</w:t>
            </w:r>
          </w:p>
        </w:tc>
        <w:tc>
          <w:tcPr>
            <w:tcW w:type="dxa" w:w="4234"/>
            <w:vAlign w:val="center"/>
          </w:tcPr>
          <w:p>
            <w:pPr>
              <w:spacing w:before="60" w:after="60" w:line="259" w:lineRule="auto"/>
            </w:pPr>
            <w:r>
              <w:rPr>
                <w:b w:val="0"/>
                <w:sz w:val="20"/>
              </w:rPr>
              <w:t>严格类型界面、服务状态、统一组件与图标</w:t>
            </w:r>
          </w:p>
        </w:tc>
      </w:tr>
      <w:tr>
        <w:trPr>
          <w:cantSplit/>
        </w:trPr>
        <w:tc>
          <w:tcPr>
            <w:tcW w:type="dxa" w:w="1728"/>
            <w:vAlign w:val="center"/>
          </w:tcPr>
          <w:p>
            <w:pPr>
              <w:spacing w:before="60" w:after="60" w:line="259" w:lineRule="auto"/>
            </w:pPr>
            <w:r>
              <w:rPr>
                <w:b w:val="0"/>
                <w:sz w:val="20"/>
              </w:rPr>
              <w:t>可视化</w:t>
            </w:r>
          </w:p>
        </w:tc>
        <w:tc>
          <w:tcPr>
            <w:tcW w:type="dxa" w:w="4032"/>
            <w:vAlign w:val="center"/>
          </w:tcPr>
          <w:p>
            <w:pPr>
              <w:spacing w:before="60" w:after="60" w:line="259" w:lineRule="auto"/>
            </w:pPr>
            <w:r>
              <w:rPr>
                <w:b w:val="0"/>
                <w:sz w:val="20"/>
              </w:rPr>
              <w:t>MapLibre GL JS、Apache ECharts、Three.js、Motion、Radix Colors</w:t>
            </w:r>
          </w:p>
        </w:tc>
        <w:tc>
          <w:tcPr>
            <w:tcW w:type="dxa" w:w="4234"/>
            <w:vAlign w:val="center"/>
          </w:tcPr>
          <w:p>
            <w:pPr>
              <w:spacing w:before="60" w:after="60" w:line="259" w:lineRule="auto"/>
            </w:pPr>
            <w:r>
              <w:rPr>
                <w:b w:val="0"/>
                <w:sz w:val="20"/>
              </w:rPr>
              <w:t>二维地图、分析图、真实DEM曲面和适度动效</w:t>
            </w:r>
          </w:p>
        </w:tc>
      </w:tr>
      <w:tr>
        <w:trPr>
          <w:cantSplit/>
        </w:trPr>
        <w:tc>
          <w:tcPr>
            <w:tcW w:type="dxa" w:w="1728"/>
            <w:vAlign w:val="center"/>
          </w:tcPr>
          <w:p>
            <w:pPr>
              <w:spacing w:before="60" w:after="60" w:line="259" w:lineRule="auto"/>
            </w:pPr>
            <w:r>
              <w:rPr>
                <w:b w:val="0"/>
                <w:sz w:val="20"/>
              </w:rPr>
              <w:t>后端</w:t>
            </w:r>
          </w:p>
        </w:tc>
        <w:tc>
          <w:tcPr>
            <w:tcW w:type="dxa" w:w="4032"/>
            <w:vAlign w:val="center"/>
          </w:tcPr>
          <w:p>
            <w:pPr>
              <w:spacing w:before="60" w:after="60" w:line="259" w:lineRule="auto"/>
            </w:pPr>
            <w:r>
              <w:rPr>
                <w:b w:val="0"/>
                <w:sz w:val="20"/>
              </w:rPr>
              <w:t>Python 3.11/3.12、FastAPI、Pydantic、Uvicorn</w:t>
            </w:r>
          </w:p>
        </w:tc>
        <w:tc>
          <w:tcPr>
            <w:tcW w:type="dxa" w:w="4234"/>
            <w:vAlign w:val="center"/>
          </w:tcPr>
          <w:p>
            <w:pPr>
              <w:spacing w:before="60" w:after="60" w:line="259" w:lineRule="auto"/>
            </w:pPr>
            <w:r>
              <w:rPr>
                <w:b w:val="0"/>
                <w:sz w:val="20"/>
              </w:rPr>
              <w:t>HTTP、严格DTO、流与静态前端托管</w:t>
            </w:r>
          </w:p>
        </w:tc>
      </w:tr>
      <w:tr>
        <w:trPr>
          <w:cantSplit/>
        </w:trPr>
        <w:tc>
          <w:tcPr>
            <w:tcW w:type="dxa" w:w="1728"/>
            <w:vAlign w:val="center"/>
          </w:tcPr>
          <w:p>
            <w:pPr>
              <w:spacing w:before="60" w:after="60" w:line="259" w:lineRule="auto"/>
            </w:pPr>
            <w:r>
              <w:rPr>
                <w:b w:val="0"/>
                <w:sz w:val="20"/>
              </w:rPr>
              <w:t>存储</w:t>
            </w:r>
          </w:p>
        </w:tc>
        <w:tc>
          <w:tcPr>
            <w:tcW w:type="dxa" w:w="4032"/>
            <w:vAlign w:val="center"/>
          </w:tcPr>
          <w:p>
            <w:pPr>
              <w:spacing w:before="60" w:after="60" w:line="259" w:lineRule="auto"/>
            </w:pPr>
            <w:r>
              <w:rPr>
                <w:b w:val="0"/>
                <w:sz w:val="20"/>
              </w:rPr>
              <w:t>SQLAlchemy、SQLite WAL、JSON工件、内容寻址资产</w:t>
            </w:r>
          </w:p>
        </w:tc>
        <w:tc>
          <w:tcPr>
            <w:tcW w:type="dxa" w:w="4234"/>
            <w:vAlign w:val="center"/>
          </w:tcPr>
          <w:p>
            <w:pPr>
              <w:spacing w:before="60" w:after="60" w:line="259" w:lineRule="auto"/>
            </w:pPr>
            <w:r>
              <w:rPr>
                <w:b w:val="0"/>
                <w:sz w:val="20"/>
              </w:rPr>
              <w:t>本机持久化、版本、并发写事务和追溯</w:t>
            </w:r>
          </w:p>
        </w:tc>
      </w:tr>
      <w:tr>
        <w:trPr>
          <w:cantSplit/>
        </w:trPr>
        <w:tc>
          <w:tcPr>
            <w:tcW w:type="dxa" w:w="1728"/>
            <w:vAlign w:val="center"/>
          </w:tcPr>
          <w:p>
            <w:pPr>
              <w:spacing w:before="60" w:after="60" w:line="259" w:lineRule="auto"/>
            </w:pPr>
            <w:r>
              <w:rPr>
                <w:b w:val="0"/>
                <w:sz w:val="20"/>
              </w:rPr>
              <w:t>计算</w:t>
            </w:r>
          </w:p>
        </w:tc>
        <w:tc>
          <w:tcPr>
            <w:tcW w:type="dxa" w:w="4032"/>
            <w:vAlign w:val="center"/>
          </w:tcPr>
          <w:p>
            <w:pPr>
              <w:spacing w:before="60" w:after="60" w:line="259" w:lineRule="auto"/>
            </w:pPr>
            <w:r>
              <w:rPr>
                <w:b w:val="0"/>
                <w:sz w:val="20"/>
              </w:rPr>
              <w:t>NumPy、SciPy、OR-Tools CP-SAT、PyProj、Shapely、Rasterio、Numba</w:t>
            </w:r>
          </w:p>
        </w:tc>
        <w:tc>
          <w:tcPr>
            <w:tcW w:type="dxa" w:w="4234"/>
            <w:vAlign w:val="center"/>
          </w:tcPr>
          <w:p>
            <w:pPr>
              <w:spacing w:before="60" w:after="60" w:line="259" w:lineRule="auto"/>
            </w:pPr>
            <w:r>
              <w:rPr>
                <w:b w:val="0"/>
                <w:sz w:val="20"/>
              </w:rPr>
              <w:t>数值、有限优化、坐标/限制区/地形/通信计算</w:t>
            </w:r>
          </w:p>
        </w:tc>
      </w:tr>
      <w:tr>
        <w:trPr>
          <w:cantSplit/>
        </w:trPr>
        <w:tc>
          <w:tcPr>
            <w:tcW w:type="dxa" w:w="1728"/>
            <w:vAlign w:val="center"/>
          </w:tcPr>
          <w:p>
            <w:pPr>
              <w:spacing w:before="60" w:after="60" w:line="259" w:lineRule="auto"/>
            </w:pPr>
            <w:r>
              <w:rPr>
                <w:b w:val="0"/>
                <w:sz w:val="20"/>
              </w:rPr>
              <w:t>输入输出</w:t>
            </w:r>
          </w:p>
        </w:tc>
        <w:tc>
          <w:tcPr>
            <w:tcW w:type="dxa" w:w="4032"/>
            <w:vAlign w:val="center"/>
          </w:tcPr>
          <w:p>
            <w:pPr>
              <w:spacing w:before="60" w:after="60" w:line="259" w:lineRule="auto"/>
            </w:pPr>
            <w:r>
              <w:rPr>
                <w:b w:val="0"/>
                <w:sz w:val="20"/>
              </w:rPr>
              <w:t>openpyxl等</w:t>
            </w:r>
          </w:p>
        </w:tc>
        <w:tc>
          <w:tcPr>
            <w:tcW w:type="dxa" w:w="4234"/>
            <w:vAlign w:val="center"/>
          </w:tcPr>
          <w:p>
            <w:pPr>
              <w:spacing w:before="60" w:after="60" w:line="259" w:lineRule="auto"/>
            </w:pPr>
            <w:r>
              <w:rPr>
                <w:b w:val="0"/>
                <w:sz w:val="20"/>
              </w:rPr>
              <w:t>JSON/CSV/XLSX输入、Excel安排表、报告与归档</w:t>
            </w:r>
          </w:p>
        </w:tc>
      </w:tr>
      <w:tr>
        <w:trPr>
          <w:cantSplit/>
        </w:trPr>
        <w:tc>
          <w:tcPr>
            <w:tcW w:type="dxa" w:w="1728"/>
            <w:vAlign w:val="center"/>
          </w:tcPr>
          <w:p>
            <w:pPr>
              <w:spacing w:before="60" w:after="60" w:line="259" w:lineRule="auto"/>
            </w:pPr>
            <w:r>
              <w:rPr>
                <w:b w:val="0"/>
                <w:sz w:val="20"/>
              </w:rPr>
              <w:t>检查</w:t>
            </w:r>
          </w:p>
        </w:tc>
        <w:tc>
          <w:tcPr>
            <w:tcW w:type="dxa" w:w="4032"/>
            <w:vAlign w:val="center"/>
          </w:tcPr>
          <w:p>
            <w:pPr>
              <w:spacing w:before="60" w:after="60" w:line="259" w:lineRule="auto"/>
            </w:pPr>
            <w:r>
              <w:rPr>
                <w:b w:val="0"/>
                <w:sz w:val="20"/>
              </w:rPr>
              <w:t>pytest、Node单测、ESLint、TypeScript、Playwright</w:t>
            </w:r>
          </w:p>
        </w:tc>
        <w:tc>
          <w:tcPr>
            <w:tcW w:type="dxa" w:w="4234"/>
            <w:vAlign w:val="center"/>
          </w:tcPr>
          <w:p>
            <w:pPr>
              <w:spacing w:before="60" w:after="60" w:line="259" w:lineRule="auto"/>
            </w:pPr>
            <w:r>
              <w:rPr>
                <w:b w:val="0"/>
                <w:sz w:val="20"/>
              </w:rPr>
              <w:t>模块、契约、构建与真实浏览器流程</w:t>
            </w:r>
          </w:p>
        </w:tc>
      </w:tr>
    </w:tbl>
    <w:p>
      <w:pPr>
        <w:spacing w:after="20"/>
      </w:pPr>
    </w:p>
    <w:p>
      <w:r>
        <w:rPr>
          <w:b w:val="0"/>
        </w:rPr>
        <w:t>确切版本以</w:t>
      </w:r>
      <w:r>
        <w:rPr>
          <w:rFonts w:ascii="Consolas" w:hAnsi="Consolas"/>
          <w:b w:val="0"/>
          <w:color w:val="234C54"/>
          <w:sz w:val="20"/>
        </w:rPr>
        <w:t>requirements.lock.txt</w:t>
      </w:r>
      <w:r>
        <w:rPr>
          <w:b w:val="0"/>
        </w:rPr>
        <w:t>与</w:t>
      </w:r>
      <w:r>
        <w:rPr>
          <w:rFonts w:ascii="Consolas" w:hAnsi="Consolas"/>
          <w:b w:val="0"/>
          <w:color w:val="234C54"/>
          <w:sz w:val="20"/>
        </w:rPr>
        <w:t>frontend/package-lock.json</w:t>
      </w:r>
      <w:r>
        <w:rPr>
          <w:b w:val="0"/>
        </w:rPr>
        <w:t>为准。当前没有Redis/Celery、Kubernetes、PostGIS或云对象存储依赖；主要计算使用CPU，不要求4090。技术栈版本在本文基线中核对，不代表未来最新版本。</w:t>
      </w:r>
    </w:p>
    <w:p>
      <w:pPr>
        <w:pStyle w:val="Heading1"/>
      </w:pPr>
      <w:r>
        <w:t>5 数据对象与不可破坏的不变量</w:t>
      </w:r>
    </w:p>
    <w:p>
      <w:pPr>
        <w:pStyle w:val="Heading2"/>
      </w:pPr>
      <w:r>
        <w:t>5.1 对象关系</w:t>
      </w:r>
    </w:p>
    <w:tbl>
      <w:tblPr>
        <w:tblStyle w:val="TableGrid"/>
        <w:tblW w:type="auto" w:w="0"/>
        <w:jc w:val="center"/>
        <w:tblLayout w:type="fixed"/>
        <w:tblLook w:firstColumn="1" w:firstRow="1" w:lastColumn="0" w:lastRow="0" w:noHBand="0" w:noVBand="1" w:val="04A0"/>
      </w:tblPr>
      <w:tblGrid>
        <w:gridCol w:w="1728"/>
        <w:gridCol w:w="4032"/>
        <w:gridCol w:w="4234"/>
      </w:tblGrid>
      <w:tr>
        <w:trPr>
          <w:tblHeader/>
          <w:cantSplit/>
        </w:trPr>
        <w:tc>
          <w:tcPr>
            <w:tcW w:type="dxa" w:w="1728"/>
            <w:vAlign w:val="center"/>
            <w:shd w:fill="EAF0F0"/>
          </w:tcPr>
          <w:p>
            <w:pPr>
              <w:keepNext/>
              <w:spacing w:before="60" w:after="60" w:line="259" w:lineRule="auto"/>
            </w:pPr>
            <w:r>
              <w:rPr>
                <w:b/>
                <w:sz w:val="20"/>
              </w:rPr>
              <w:t>对象</w:t>
            </w:r>
          </w:p>
        </w:tc>
        <w:tc>
          <w:tcPr>
            <w:tcW w:type="dxa" w:w="4032"/>
            <w:vAlign w:val="center"/>
            <w:shd w:fill="EAF0F0"/>
          </w:tcPr>
          <w:p>
            <w:pPr>
              <w:keepNext/>
              <w:spacing w:before="60" w:after="60" w:line="259" w:lineRule="auto"/>
            </w:pPr>
            <w:r>
              <w:rPr>
                <w:b/>
                <w:sz w:val="20"/>
              </w:rPr>
              <w:t>职责</w:t>
            </w:r>
          </w:p>
        </w:tc>
        <w:tc>
          <w:tcPr>
            <w:tcW w:type="dxa" w:w="4234"/>
            <w:vAlign w:val="center"/>
            <w:shd w:fill="EAF0F0"/>
          </w:tcPr>
          <w:p>
            <w:pPr>
              <w:keepNext/>
              <w:spacing w:before="60" w:after="60" w:line="259" w:lineRule="auto"/>
            </w:pPr>
            <w:r>
              <w:rPr>
                <w:b/>
                <w:sz w:val="20"/>
              </w:rPr>
              <w:t>与其它对象的关系</w:t>
            </w:r>
          </w:p>
        </w:tc>
      </w:tr>
      <w:tr>
        <w:trPr>
          <w:cantSplit/>
        </w:trPr>
        <w:tc>
          <w:tcPr>
            <w:tcW w:type="dxa" w:w="1728"/>
            <w:vAlign w:val="center"/>
          </w:tcPr>
          <w:p>
            <w:pPr>
              <w:spacing w:before="60" w:after="60" w:line="259" w:lineRule="auto"/>
            </w:pPr>
            <w:r>
              <w:rPr>
                <w:b w:val="0"/>
                <w:sz w:val="20"/>
              </w:rPr>
              <w:t>Mission</w:t>
            </w:r>
          </w:p>
        </w:tc>
        <w:tc>
          <w:tcPr>
            <w:tcW w:type="dxa" w:w="4032"/>
            <w:vAlign w:val="center"/>
          </w:tcPr>
          <w:p>
            <w:pPr>
              <w:spacing w:before="60" w:after="60" w:line="259" w:lineRule="auto"/>
            </w:pPr>
            <w:r>
              <w:rPr>
                <w:b w:val="0"/>
                <w:sz w:val="20"/>
              </w:rPr>
              <w:t>面向用户的救援任务与四阶段生命周期</w:t>
            </w:r>
          </w:p>
        </w:tc>
        <w:tc>
          <w:tcPr>
            <w:tcW w:type="dxa" w:w="4234"/>
            <w:vAlign w:val="center"/>
          </w:tcPr>
          <w:p>
            <w:pPr>
              <w:spacing w:before="60" w:after="60" w:line="259" w:lineRule="auto"/>
            </w:pPr>
            <w:r>
              <w:rPr>
                <w:b w:val="0"/>
                <w:sz w:val="20"/>
              </w:rPr>
              <w:t>关联当前Scenario、已确认Plan与执行实例</w:t>
            </w:r>
          </w:p>
        </w:tc>
      </w:tr>
      <w:tr>
        <w:trPr>
          <w:cantSplit/>
        </w:trPr>
        <w:tc>
          <w:tcPr>
            <w:tcW w:type="dxa" w:w="1728"/>
            <w:vAlign w:val="center"/>
          </w:tcPr>
          <w:p>
            <w:pPr>
              <w:spacing w:before="60" w:after="60" w:line="259" w:lineRule="auto"/>
            </w:pPr>
            <w:r>
              <w:rPr>
                <w:b w:val="0"/>
                <w:sz w:val="20"/>
              </w:rPr>
              <w:t>MissionDraft</w:t>
            </w:r>
          </w:p>
        </w:tc>
        <w:tc>
          <w:tcPr>
            <w:tcW w:type="dxa" w:w="4032"/>
            <w:vAlign w:val="center"/>
          </w:tcPr>
          <w:p>
            <w:pPr>
              <w:spacing w:before="60" w:after="60" w:line="259" w:lineRule="auto"/>
            </w:pPr>
            <w:r>
              <w:rPr>
                <w:b w:val="0"/>
                <w:sz w:val="20"/>
              </w:rPr>
              <w:t>可以不完整的准备草稿</w:t>
            </w:r>
          </w:p>
        </w:tc>
        <w:tc>
          <w:tcPr>
            <w:tcW w:type="dxa" w:w="4234"/>
            <w:vAlign w:val="center"/>
          </w:tcPr>
          <w:p>
            <w:pPr>
              <w:spacing w:before="60" w:after="60" w:line="259" w:lineRule="auto"/>
            </w:pPr>
            <w:r>
              <w:rPr>
                <w:b w:val="0"/>
                <w:sz w:val="20"/>
              </w:rPr>
              <w:t>不能假装是已通过完整校验的Scenario</w:t>
            </w:r>
          </w:p>
        </w:tc>
      </w:tr>
      <w:tr>
        <w:trPr>
          <w:cantSplit/>
        </w:trPr>
        <w:tc>
          <w:tcPr>
            <w:tcW w:type="dxa" w:w="1728"/>
            <w:vAlign w:val="center"/>
          </w:tcPr>
          <w:p>
            <w:pPr>
              <w:spacing w:before="60" w:after="60" w:line="259" w:lineRule="auto"/>
            </w:pPr>
            <w:r>
              <w:rPr>
                <w:b w:val="0"/>
                <w:sz w:val="20"/>
              </w:rPr>
              <w:t>Scenario</w:t>
            </w:r>
          </w:p>
        </w:tc>
        <w:tc>
          <w:tcPr>
            <w:tcW w:type="dxa" w:w="4032"/>
            <w:vAlign w:val="center"/>
          </w:tcPr>
          <w:p>
            <w:pPr>
              <w:spacing w:before="60" w:after="60" w:line="259" w:lineRule="auto"/>
            </w:pPr>
            <w:r>
              <w:rPr>
                <w:b w:val="0"/>
                <w:sz w:val="20"/>
              </w:rPr>
              <w:t>基地、点位、需求、箱件、机型、实体机、电池、策略及扩展</w:t>
            </w:r>
          </w:p>
        </w:tc>
        <w:tc>
          <w:tcPr>
            <w:tcW w:type="dxa" w:w="4234"/>
            <w:vAlign w:val="center"/>
          </w:tcPr>
          <w:p>
            <w:pPr>
              <w:spacing w:before="60" w:after="60" w:line="259" w:lineRule="auto"/>
            </w:pPr>
            <w:r>
              <w:rPr>
                <w:b w:val="0"/>
                <w:sz w:val="20"/>
              </w:rPr>
              <w:t>保存修改增加state_version；保留历史版本</w:t>
            </w:r>
          </w:p>
        </w:tc>
      </w:tr>
      <w:tr>
        <w:trPr>
          <w:cantSplit/>
        </w:trPr>
        <w:tc>
          <w:tcPr>
            <w:tcW w:type="dxa" w:w="1728"/>
            <w:vAlign w:val="center"/>
          </w:tcPr>
          <w:p>
            <w:pPr>
              <w:spacing w:before="60" w:after="60" w:line="259" w:lineRule="auto"/>
            </w:pPr>
            <w:r>
              <w:rPr>
                <w:b w:val="0"/>
                <w:sz w:val="20"/>
              </w:rPr>
              <w:t>Snapshot</w:t>
            </w:r>
          </w:p>
        </w:tc>
        <w:tc>
          <w:tcPr>
            <w:tcW w:type="dxa" w:w="4032"/>
            <w:vAlign w:val="center"/>
          </w:tcPr>
          <w:p>
            <w:pPr>
              <w:spacing w:before="60" w:after="60" w:line="259" w:lineRule="auto"/>
            </w:pPr>
            <w:r>
              <w:rPr>
                <w:b w:val="0"/>
                <w:sz w:val="20"/>
              </w:rPr>
              <w:t>一次计算的不可变完整输入、版本与内容hash</w:t>
            </w:r>
          </w:p>
        </w:tc>
        <w:tc>
          <w:tcPr>
            <w:tcW w:type="dxa" w:w="4234"/>
            <w:vAlign w:val="center"/>
          </w:tcPr>
          <w:p>
            <w:pPr>
              <w:spacing w:before="60" w:after="60" w:line="259" w:lineRule="auto"/>
            </w:pPr>
            <w:r>
              <w:rPr>
                <w:b w:val="0"/>
                <w:sz w:val="20"/>
              </w:rPr>
              <w:t>嵌入Scenario；Plan与Job绑定它</w:t>
            </w:r>
          </w:p>
        </w:tc>
      </w:tr>
      <w:tr>
        <w:trPr>
          <w:cantSplit/>
        </w:trPr>
        <w:tc>
          <w:tcPr>
            <w:tcW w:type="dxa" w:w="1728"/>
            <w:vAlign w:val="center"/>
          </w:tcPr>
          <w:p>
            <w:pPr>
              <w:spacing w:before="60" w:after="60" w:line="259" w:lineRule="auto"/>
            </w:pPr>
            <w:r>
              <w:rPr>
                <w:b w:val="0"/>
                <w:sz w:val="20"/>
              </w:rPr>
              <w:t>SolveJob</w:t>
            </w:r>
          </w:p>
        </w:tc>
        <w:tc>
          <w:tcPr>
            <w:tcW w:type="dxa" w:w="4032"/>
            <w:vAlign w:val="center"/>
          </w:tcPr>
          <w:p>
            <w:pPr>
              <w:spacing w:before="60" w:after="60" w:line="259" w:lineRule="auto"/>
            </w:pPr>
            <w:r>
              <w:rPr>
                <w:b w:val="0"/>
                <w:sz w:val="20"/>
              </w:rPr>
              <w:t>异步计算请求、预算、进度、状态和错误</w:t>
            </w:r>
          </w:p>
        </w:tc>
        <w:tc>
          <w:tcPr>
            <w:tcW w:type="dxa" w:w="4234"/>
            <w:vAlign w:val="center"/>
          </w:tcPr>
          <w:p>
            <w:pPr>
              <w:spacing w:before="60" w:after="60" w:line="259" w:lineRule="auto"/>
            </w:pPr>
            <w:r>
              <w:rPr>
                <w:b w:val="0"/>
                <w:sz w:val="20"/>
              </w:rPr>
              <w:t>Worker读取冻结输入，完成后关联Plan或准确失败</w:t>
            </w:r>
          </w:p>
        </w:tc>
      </w:tr>
      <w:tr>
        <w:trPr>
          <w:cantSplit/>
        </w:trPr>
        <w:tc>
          <w:tcPr>
            <w:tcW w:type="dxa" w:w="1728"/>
            <w:vAlign w:val="center"/>
          </w:tcPr>
          <w:p>
            <w:pPr>
              <w:spacing w:before="60" w:after="60" w:line="259" w:lineRule="auto"/>
            </w:pPr>
            <w:r>
              <w:rPr>
                <w:b w:val="0"/>
                <w:sz w:val="20"/>
              </w:rPr>
              <w:t>Plan</w:t>
            </w:r>
          </w:p>
        </w:tc>
        <w:tc>
          <w:tcPr>
            <w:tcW w:type="dxa" w:w="4032"/>
            <w:vAlign w:val="center"/>
          </w:tcPr>
          <w:p>
            <w:pPr>
              <w:spacing w:before="60" w:after="60" w:line="259" w:lineRule="auto"/>
            </w:pPr>
            <w:r>
              <w:rPr>
                <w:b w:val="0"/>
                <w:sz w:val="20"/>
              </w:rPr>
              <w:t>逐架次、逐箱、时序、能源、检查与算法范围</w:t>
            </w:r>
          </w:p>
        </w:tc>
        <w:tc>
          <w:tcPr>
            <w:tcW w:type="dxa" w:w="4234"/>
            <w:vAlign w:val="center"/>
          </w:tcPr>
          <w:p>
            <w:pPr>
              <w:spacing w:before="60" w:after="60" w:line="259" w:lineRule="auto"/>
            </w:pPr>
            <w:r>
              <w:rPr>
                <w:b w:val="0"/>
                <w:sz w:val="20"/>
              </w:rPr>
              <w:t>不覆盖旧Plan；不能跨Snapshot任意拼接</w:t>
            </w:r>
          </w:p>
        </w:tc>
      </w:tr>
      <w:tr>
        <w:trPr>
          <w:cantSplit/>
        </w:trPr>
        <w:tc>
          <w:tcPr>
            <w:tcW w:type="dxa" w:w="1728"/>
            <w:vAlign w:val="center"/>
          </w:tcPr>
          <w:p>
            <w:pPr>
              <w:spacing w:before="60" w:after="60" w:line="259" w:lineRule="auto"/>
            </w:pPr>
            <w:r>
              <w:rPr>
                <w:b w:val="0"/>
                <w:sz w:val="20"/>
              </w:rPr>
              <w:t>Event</w:t>
            </w:r>
          </w:p>
        </w:tc>
        <w:tc>
          <w:tcPr>
            <w:tcW w:type="dxa" w:w="4032"/>
            <w:vAlign w:val="center"/>
          </w:tcPr>
          <w:p>
            <w:pPr>
              <w:spacing w:before="60" w:after="60" w:line="259" w:lineRule="auto"/>
            </w:pPr>
            <w:r>
              <w:rPr>
                <w:b w:val="0"/>
                <w:sz w:val="20"/>
              </w:rPr>
              <w:t>尚未执行场景的零时刻事件</w:t>
            </w:r>
          </w:p>
        </w:tc>
        <w:tc>
          <w:tcPr>
            <w:tcW w:type="dxa" w:w="4234"/>
            <w:vAlign w:val="center"/>
          </w:tcPr>
          <w:p>
            <w:pPr>
              <w:spacing w:before="60" w:after="60" w:line="259" w:lineRule="auto"/>
            </w:pPr>
            <w:r>
              <w:rPr>
                <w:b w:val="0"/>
                <w:sz w:val="20"/>
              </w:rPr>
              <w:t>应用后生成新Scenario版本，再replan</w:t>
            </w:r>
          </w:p>
        </w:tc>
      </w:tr>
      <w:tr>
        <w:trPr>
          <w:cantSplit/>
        </w:trPr>
        <w:tc>
          <w:tcPr>
            <w:tcW w:type="dxa" w:w="1728"/>
            <w:vAlign w:val="center"/>
          </w:tcPr>
          <w:p>
            <w:pPr>
              <w:spacing w:before="60" w:after="60" w:line="259" w:lineRule="auto"/>
            </w:pPr>
            <w:r>
              <w:rPr>
                <w:b w:val="0"/>
                <w:sz w:val="20"/>
              </w:rPr>
              <w:t>Execution</w:t>
            </w:r>
          </w:p>
        </w:tc>
        <w:tc>
          <w:tcPr>
            <w:tcW w:type="dxa" w:w="4032"/>
            <w:vAlign w:val="center"/>
          </w:tcPr>
          <w:p>
            <w:pPr>
              <w:spacing w:before="60" w:after="60" w:line="259" w:lineRule="auto"/>
            </w:pPr>
            <w:r>
              <w:rPr>
                <w:b w:val="0"/>
                <w:sz w:val="20"/>
              </w:rPr>
              <w:t>独立业务模拟实例、当前排程来源和事实游标</w:t>
            </w:r>
          </w:p>
        </w:tc>
        <w:tc>
          <w:tcPr>
            <w:tcW w:type="dxa" w:w="4234"/>
            <w:vAlign w:val="center"/>
          </w:tcPr>
          <w:p>
            <w:pPr>
              <w:spacing w:before="60" w:after="60" w:line="259" w:lineRule="auto"/>
            </w:pPr>
            <w:r>
              <w:rPr>
                <w:b w:val="0"/>
                <w:sz w:val="20"/>
              </w:rPr>
              <w:t>可同时保留旧承诺与新未来Plan，不能拼成伪造单Plan</w:t>
            </w:r>
          </w:p>
        </w:tc>
      </w:tr>
      <w:tr>
        <w:trPr>
          <w:cantSplit/>
        </w:trPr>
        <w:tc>
          <w:tcPr>
            <w:tcW w:type="dxa" w:w="1728"/>
            <w:vAlign w:val="center"/>
          </w:tcPr>
          <w:p>
            <w:pPr>
              <w:spacing w:before="60" w:after="60" w:line="259" w:lineRule="auto"/>
            </w:pPr>
            <w:r>
              <w:rPr>
                <w:b w:val="0"/>
                <w:sz w:val="20"/>
              </w:rPr>
              <w:t>ExecutionFact</w:t>
            </w:r>
          </w:p>
        </w:tc>
        <w:tc>
          <w:tcPr>
            <w:tcW w:type="dxa" w:w="4032"/>
            <w:vAlign w:val="center"/>
          </w:tcPr>
          <w:p>
            <w:pPr>
              <w:spacing w:before="60" w:after="60" w:line="259" w:lineRule="auto"/>
            </w:pPr>
            <w:r>
              <w:rPr>
                <w:b w:val="0"/>
                <w:sz w:val="20"/>
              </w:rPr>
              <w:t>loaded、delivered、资源释放等追加事实</w:t>
            </w:r>
          </w:p>
        </w:tc>
        <w:tc>
          <w:tcPr>
            <w:tcW w:type="dxa" w:w="4234"/>
            <w:vAlign w:val="center"/>
          </w:tcPr>
          <w:p>
            <w:pPr>
              <w:spacing w:before="60" w:after="60" w:line="259" w:lineRule="auto"/>
            </w:pPr>
            <w:r>
              <w:rPr>
                <w:b w:val="0"/>
                <w:sz w:val="20"/>
              </w:rPr>
              <w:t>交付数量与承诺来源，幂等去重、保留原文</w:t>
            </w:r>
          </w:p>
        </w:tc>
      </w:tr>
      <w:tr>
        <w:trPr>
          <w:cantSplit/>
        </w:trPr>
        <w:tc>
          <w:tcPr>
            <w:tcW w:type="dxa" w:w="1728"/>
            <w:vAlign w:val="center"/>
          </w:tcPr>
          <w:p>
            <w:pPr>
              <w:spacing w:before="60" w:after="60" w:line="259" w:lineRule="auto"/>
            </w:pPr>
            <w:r>
              <w:rPr>
                <w:b w:val="0"/>
                <w:sz w:val="20"/>
              </w:rPr>
              <w:t>ExecutionEvent / Repair / Command</w:t>
            </w:r>
          </w:p>
        </w:tc>
        <w:tc>
          <w:tcPr>
            <w:tcW w:type="dxa" w:w="4032"/>
            <w:vAlign w:val="center"/>
          </w:tcPr>
          <w:p>
            <w:pPr>
              <w:spacing w:before="60" w:after="60" w:line="259" w:lineRule="auto"/>
            </w:pPr>
            <w:r>
              <w:rPr>
                <w:b w:val="0"/>
                <w:sz w:val="20"/>
              </w:rPr>
              <w:t>执行变化、影响、候选、采纳与设备状态</w:t>
            </w:r>
          </w:p>
        </w:tc>
        <w:tc>
          <w:tcPr>
            <w:tcW w:type="dxa" w:w="4234"/>
            <w:vAlign w:val="center"/>
          </w:tcPr>
          <w:p>
            <w:pPr>
              <w:spacing w:before="60" w:after="60" w:line="259" w:lineRule="auto"/>
            </w:pPr>
            <w:r>
              <w:rPr>
                <w:b w:val="0"/>
                <w:sz w:val="20"/>
              </w:rPr>
              <w:t>与零时刻Event分开，使用revision、游标和幂等键</w:t>
            </w:r>
          </w:p>
        </w:tc>
      </w:tr>
      <w:tr>
        <w:trPr>
          <w:cantSplit/>
        </w:trPr>
        <w:tc>
          <w:tcPr>
            <w:tcW w:type="dxa" w:w="1728"/>
            <w:vAlign w:val="center"/>
          </w:tcPr>
          <w:p>
            <w:pPr>
              <w:spacing w:before="60" w:after="60" w:line="259" w:lineRule="auto"/>
            </w:pPr>
            <w:r>
              <w:rPr>
                <w:b w:val="0"/>
                <w:sz w:val="20"/>
              </w:rPr>
              <w:t>Experiment / Archive</w:t>
            </w:r>
          </w:p>
        </w:tc>
        <w:tc>
          <w:tcPr>
            <w:tcW w:type="dxa" w:w="4032"/>
            <w:vAlign w:val="center"/>
          </w:tcPr>
          <w:p>
            <w:pPr>
              <w:spacing w:before="60" w:after="60" w:line="259" w:lineRule="auto"/>
            </w:pPr>
            <w:r>
              <w:rPr>
                <w:b w:val="0"/>
                <w:sz w:val="20"/>
              </w:rPr>
              <w:t>独立对照与只读复盘</w:t>
            </w:r>
          </w:p>
        </w:tc>
        <w:tc>
          <w:tcPr>
            <w:tcW w:type="dxa" w:w="4234"/>
            <w:vAlign w:val="center"/>
          </w:tcPr>
          <w:p>
            <w:pPr>
              <w:spacing w:before="60" w:after="60" w:line="259" w:lineRule="auto"/>
            </w:pPr>
            <w:r>
              <w:rPr>
                <w:b w:val="0"/>
                <w:sz w:val="20"/>
              </w:rPr>
              <w:t>不自动确认、不控制原任务、不写交付事实</w:t>
            </w:r>
          </w:p>
        </w:tc>
      </w:tr>
    </w:tbl>
    <w:p>
      <w:pPr>
        <w:spacing w:after="20"/>
      </w:pPr>
    </w:p>
    <w:p>
      <w:r>
        <w:rPr>
          <w:b w:val="0"/>
        </w:rPr>
        <w:t>需求与实物库存分开。Demand表示某点需要什么、需要几箱、优先级和时限；CargoItem是有独立ID、质量、体积、位置和状态的不可拆箱。需求可由多架次分批满足，同一个实物箱不能重复分配。当前正式规划要求完整需求保障，</w:t>
      </w:r>
      <w:r>
        <w:rPr>
          <w:rFonts w:ascii="Consolas" w:hAnsi="Consolas"/>
          <w:b w:val="0"/>
          <w:color w:val="234C54"/>
          <w:sz w:val="20"/>
        </w:rPr>
        <w:t>allow_partial_service=false</w:t>
      </w:r>
      <w:r>
        <w:rPr>
          <w:b w:val="0"/>
        </w:rPr>
        <w:t>，未实现可发布的部分保障模式。</w:t>
      </w:r>
    </w:p>
    <w:p>
      <w:pPr>
        <w:pStyle w:val="Heading2"/>
      </w:pPr>
      <w:r>
        <w:t>5.2 单位和时间</w:t>
      </w:r>
    </w:p>
    <w:p>
      <w:r>
        <w:rPr>
          <w:b w:val="0"/>
        </w:rPr>
        <w:t>经纬度采用WGS84，顺序固定为</w:t>
      </w:r>
      <w:r>
        <w:rPr>
          <w:rFonts w:ascii="Consolas" w:hAnsi="Consolas"/>
          <w:b w:val="0"/>
          <w:color w:val="234C54"/>
          <w:sz w:val="20"/>
        </w:rPr>
        <w:t>[longitude, latitude]</w:t>
      </w:r>
      <w:r>
        <w:rPr>
          <w:b w:val="0"/>
        </w:rPr>
        <w:t>。质量kg，体积L，高度和距离m，速度m/s，能源kWh，SOC与SOH均为0到1。相对任务时刻用秒，绝对时间必须带时区。界面可以显示百分数和时分秒，但导出和接口保留明确单位。空值表示未知或未产生，不得显示成零。</w:t>
      </w:r>
    </w:p>
    <w:p>
      <w:r>
        <w:rPr>
          <w:b w:val="0"/>
        </w:rPr>
        <w:t>机体、电池、中继能源是不同实体；机体释放不等于电池补能结束。资源区间采用左闭右开语义</w:t>
      </w:r>
      <w:r>
        <w:rPr>
          <w:rFonts w:ascii="Consolas" w:hAnsi="Consolas"/>
          <w:b w:val="0"/>
          <w:color w:val="234C54"/>
          <w:sz w:val="20"/>
        </w:rPr>
        <w:t>[start,end)</w:t>
      </w:r>
      <w:r>
        <w:rPr>
          <w:b w:val="0"/>
        </w:rPr>
        <w:t>，同一时刻先释放后占用。Scenario版本、Mission修订号和Execution修订号不是同一个计数器。</w:t>
      </w:r>
    </w:p>
    <w:p>
      <w:pPr>
        <w:pStyle w:val="Heading2"/>
      </w:pPr>
      <w:r>
        <w:t>5.3 一致性规则</w:t>
      </w:r>
    </w:p>
    <w:p>
      <w:r>
        <w:rPr>
          <w:b w:val="0"/>
        </w:rPr>
        <w:t>输入变更后保存新版本，旧Plan仍只解释原Snapshot；确认时检查版本与输入hash。相同幂等键和相同请求读取原回执，不重复产生副作用；相同键不同内容返回冲突。计划确认与预约变更在同一事务中完成。执行事实追加，不因新计划而把已交付物资恢复成仓内库存。</w:t>
      </w:r>
    </w:p>
    <w:p>
      <w:r>
        <w:rPr>
          <w:b w:val="0"/>
        </w:rPr>
        <w:t>数据来源区分</w:t>
      </w:r>
      <w:r>
        <w:rPr>
          <w:rFonts w:ascii="Consolas" w:hAnsi="Consolas"/>
          <w:b w:val="0"/>
          <w:color w:val="234C54"/>
          <w:sz w:val="20"/>
        </w:rPr>
        <w:t>mock</w:t>
      </w:r>
      <w:r>
        <w:rPr>
          <w:b w:val="0"/>
        </w:rPr>
        <w:t>、当前Solver输出、导入历史等。Mock只用于明确标注的结构或界面开发，不能改标签充当当前计算。执行档案的校验和证明一致性，不是数字签名或真实来源认证。</w:t>
      </w:r>
    </w:p>
    <w:p>
      <w:pPr>
        <w:pStyle w:val="Heading1"/>
      </w:pPr>
      <w:r>
        <w:t>6 地图输入与空间模型</w:t>
      </w:r>
    </w:p>
    <w:p>
      <w:pPr>
        <w:pStyle w:val="Heading2"/>
      </w:pPr>
      <w:r>
        <w:t>6.1 地图层分工</w:t>
      </w:r>
    </w:p>
    <w:p>
      <w:r>
        <w:rPr>
          <w:b w:val="0"/>
        </w:rPr>
        <w:t>地图底图用于定位与观察；DEM用于地形高程与净空；基地和需求点承载业务位置；限制区定义静态禁入范围；天气和通信层展示各自模型信息。卫星照片不提供可直接用于净空计算的高程。原镇龙乡HTML地图是地理数据展示，并不等于一套已准备好的卫星影像。</w:t>
      </w:r>
    </w:p>
    <w:p>
      <w:r>
        <w:rPr>
          <w:b w:val="0"/>
        </w:rPr>
        <w:t>默认使用本地地形和地理上下文，断网仍可展示路线。在线卫星由用户主动启用，保留来源署名，失败时降级。需要外网不等于求解依赖外网，也不保证所有区域或网络下影像都可获取。</w:t>
      </w:r>
    </w:p>
    <w:p>
      <w:pPr>
        <w:pStyle w:val="Heading2"/>
      </w:pPr>
      <w:r>
        <w:t>6.2 DEM资产</w:t>
      </w:r>
    </w:p>
    <w:p>
      <w:r>
        <w:rPr>
          <w:b w:val="0"/>
        </w:rPr>
        <w:t>支持单波段、有CRS、米制高程的GeoTIFF。当前上传上限16MiB、源和准备栅格上限200万像元；这些是当前实现限制，可在确认需求后调整。北向EPSG:4326保留原网格，其它支持的水平CRS和旋转网格通过Rasterio准备，采用最大值高程与独立NoData掩码传播，不用平滑掩盖未知区。</w:t>
      </w:r>
    </w:p>
    <w:p>
      <w:r>
        <w:rPr>
          <w:b w:val="0"/>
        </w:rPr>
        <w:t>归一化资产保存在</w:t>
      </w:r>
      <w:r>
        <w:rPr>
          <w:rFonts w:ascii="Consolas" w:hAnsi="Consolas"/>
          <w:b w:val="0"/>
          <w:color w:val="234C54"/>
          <w:sz w:val="20"/>
        </w:rPr>
        <w:t>runtime/assets/&lt;SHA256&gt;.npz</w:t>
      </w:r>
      <w:r>
        <w:rPr>
          <w:b w:val="0"/>
        </w:rPr>
        <w:t>，来源文件单独保存。Scenario记录资产ID、完整hash、水平CRS和声明的垂直基准。先注册资产、再绑定并保存版本；不能在求解期间原地换栅格。高程基准未知时不能擅自做椭球高与海拔转换。</w:t>
      </w:r>
    </w:p>
    <w:p>
      <w:r>
        <w:rPr>
          <w:b w:val="0"/>
        </w:rPr>
        <w:t>完整DEM包包含清单、准备栅格和源GeoTIFF，交接时可以保留准确hash；单独复制场景JSON不会自动带走二进制资产。包导入检查路径、大小、数组头、hash和源数据重算一致性，不直接无约束解压。</w:t>
      </w:r>
    </w:p>
    <w:p>
      <w:pPr>
        <w:pStyle w:val="Heading2"/>
      </w:pPr>
      <w:r>
        <w:t>6.3 净空与限制区</w:t>
      </w:r>
    </w:p>
    <w:p>
      <w:r>
        <w:rPr>
          <w:b w:val="0"/>
        </w:rPr>
        <w:t>水平距离按WGS84测地线和实际折线路径累计。地形查询将测地航段细分为最长20m的弦，并用闭像元supercover取接触到的全部像元最高值，角点或边界接触也纳入。路径出覆盖区或接触NoData时，不能标为地形通过。</w:t>
      </w:r>
    </w:p>
    <w:p>
      <w:r>
        <w:rPr>
          <w:b w:val="0"/>
        </w:rPr>
        <w:t>静态限制区采用基地中心的局部等距方位投影，受基地100km范围等条件约束。缓冲后用可见图生成有限绕行候选，最终按测地弦复查；边界和缓冲区均禁入。当前支持单外环多边形，不支持任意孔洞、多多边形或动态四维空域。有限图未找到路径返回未确定/输入未就绪，不当作真实三维空间无解证明。</w:t>
      </w:r>
    </w:p>
    <w:p>
      <w:pPr>
        <w:pStyle w:val="Heading1"/>
      </w:pPr>
      <w:r>
        <w:t>7 运输物理和能源模型</w:t>
      </w:r>
    </w:p>
    <w:p>
      <w:pPr>
        <w:pStyle w:val="Heading2"/>
      </w:pPr>
      <w:r>
        <w:t>7.1 模型来源与符号</w:t>
      </w:r>
    </w:p>
    <w:p>
      <w:r>
        <w:rPr>
          <w:b w:val="0"/>
        </w:rPr>
        <w:t>当前</w:t>
      </w:r>
      <w:r>
        <w:rPr>
          <w:rFonts w:ascii="Consolas" w:hAnsi="Consolas"/>
          <w:b w:val="0"/>
          <w:color w:val="234C54"/>
          <w:sz w:val="20"/>
        </w:rPr>
        <w:t>contest_transport_v1</w:t>
      </w:r>
      <w:r>
        <w:rPr>
          <w:b w:val="0"/>
        </w:rPr>
        <w:t>和</w:t>
      </w:r>
      <w:r>
        <w:rPr>
          <w:rFonts w:ascii="Consolas" w:hAnsi="Consolas"/>
          <w:b w:val="0"/>
          <w:color w:val="234C54"/>
          <w:sz w:val="20"/>
        </w:rPr>
        <w:t>contest_two_stage_v1</w:t>
      </w:r>
      <w:r>
        <w:rPr>
          <w:b w:val="0"/>
        </w:rPr>
        <w:t>继承题设简化模型，代码在</w:t>
      </w:r>
      <w:r>
        <w:rPr>
          <w:rFonts w:ascii="Consolas" w:hAnsi="Consolas"/>
          <w:b w:val="0"/>
          <w:color w:val="234C54"/>
          <w:sz w:val="20"/>
        </w:rPr>
        <w:t>solver/physics.py</w:t>
      </w:r>
      <w:r>
        <w:rPr>
          <w:b w:val="0"/>
        </w:rPr>
        <w:t>。它们适用于本项目演练与算法比较，尚未经真机能耗日志标定。</w:t>
      </w:r>
    </w:p>
    <w:tbl>
      <w:tblPr>
        <w:tblStyle w:val="TableGrid"/>
        <w:tblW w:type="auto" w:w="0"/>
        <w:jc w:val="center"/>
        <w:tblLayout w:type="fixed"/>
        <w:tblLook w:firstColumn="1" w:firstRow="1" w:lastColumn="0" w:lastRow="0" w:noHBand="0" w:noVBand="1" w:val="04A0"/>
      </w:tblPr>
      <w:tblGrid>
        <w:gridCol w:w="1728"/>
        <w:gridCol w:w="4032"/>
        <w:gridCol w:w="4234"/>
      </w:tblGrid>
      <w:tr>
        <w:trPr>
          <w:tblHeader/>
          <w:cantSplit/>
        </w:trPr>
        <w:tc>
          <w:tcPr>
            <w:tcW w:type="dxa" w:w="1728"/>
            <w:vAlign w:val="center"/>
            <w:shd w:fill="EAF0F0"/>
          </w:tcPr>
          <w:p>
            <w:pPr>
              <w:keepNext/>
              <w:spacing w:before="60" w:after="60" w:line="259" w:lineRule="auto"/>
            </w:pPr>
            <w:r>
              <w:rPr>
                <w:b/>
                <w:sz w:val="20"/>
              </w:rPr>
              <w:t>符号</w:t>
            </w:r>
          </w:p>
        </w:tc>
        <w:tc>
          <w:tcPr>
            <w:tcW w:type="dxa" w:w="4032"/>
            <w:vAlign w:val="center"/>
            <w:shd w:fill="EAF0F0"/>
          </w:tcPr>
          <w:p>
            <w:pPr>
              <w:keepNext/>
              <w:spacing w:before="60" w:after="60" w:line="259" w:lineRule="auto"/>
            </w:pPr>
            <w:r>
              <w:rPr>
                <w:b/>
                <w:sz w:val="20"/>
              </w:rPr>
              <w:t>含义</w:t>
            </w:r>
          </w:p>
        </w:tc>
        <w:tc>
          <w:tcPr>
            <w:tcW w:type="dxa" w:w="4234"/>
            <w:vAlign w:val="center"/>
            <w:shd w:fill="EAF0F0"/>
          </w:tcPr>
          <w:p>
            <w:pPr>
              <w:keepNext/>
              <w:spacing w:before="60" w:after="60" w:line="259" w:lineRule="auto"/>
            </w:pPr>
            <w:r>
              <w:rPr>
                <w:b/>
                <w:sz w:val="20"/>
              </w:rPr>
              <w:t>单位</w:t>
            </w:r>
          </w:p>
        </w:tc>
      </w:tr>
      <w:tr>
        <w:trPr>
          <w:cantSplit/>
        </w:trPr>
        <w:tc>
          <w:tcPr>
            <w:tcW w:type="dxa" w:w="1728"/>
            <w:vAlign w:val="center"/>
          </w:tcPr>
          <w:p>
            <w:pPr>
              <w:spacing w:before="60" w:after="60" w:line="259" w:lineRule="auto"/>
            </w:pPr>
            <w:r>
              <w:rPr>
                <w:b w:val="0"/>
                <w:sz w:val="20"/>
              </w:rPr>
              <w:t>d、H、Δh↑、Δh↓</w:t>
            </w:r>
          </w:p>
        </w:tc>
        <w:tc>
          <w:tcPr>
            <w:tcW w:type="dxa" w:w="4032"/>
            <w:vAlign w:val="center"/>
          </w:tcPr>
          <w:p>
            <w:pPr>
              <w:spacing w:before="60" w:after="60" w:line="259" w:lineRule="auto"/>
            </w:pPr>
            <w:r>
              <w:rPr>
                <w:b w:val="0"/>
                <w:sz w:val="20"/>
              </w:rPr>
              <w:t>实际航段距离、巡航高程、爬升、下降</w:t>
            </w:r>
          </w:p>
        </w:tc>
        <w:tc>
          <w:tcPr>
            <w:tcW w:type="dxa" w:w="4234"/>
            <w:vAlign w:val="center"/>
          </w:tcPr>
          <w:p>
            <w:pPr>
              <w:spacing w:before="60" w:after="60" w:line="259" w:lineRule="auto"/>
            </w:pPr>
            <w:r>
              <w:rPr>
                <w:b w:val="0"/>
                <w:sz w:val="20"/>
              </w:rPr>
              <w:t>m</w:t>
            </w:r>
          </w:p>
        </w:tc>
      </w:tr>
      <w:tr>
        <w:trPr>
          <w:cantSplit/>
        </w:trPr>
        <w:tc>
          <w:tcPr>
            <w:tcW w:type="dxa" w:w="1728"/>
            <w:vAlign w:val="center"/>
          </w:tcPr>
          <w:p>
            <w:pPr>
              <w:spacing w:before="60" w:after="60" w:line="259" w:lineRule="auto"/>
            </w:pPr>
            <w:r>
              <w:rPr>
                <w:b w:val="0"/>
                <w:sz w:val="20"/>
              </w:rPr>
              <w:t>m、M、m₀</w:t>
            </w:r>
          </w:p>
        </w:tc>
        <w:tc>
          <w:tcPr>
            <w:tcW w:type="dxa" w:w="4032"/>
            <w:vAlign w:val="center"/>
          </w:tcPr>
          <w:p>
            <w:pPr>
              <w:spacing w:before="60" w:after="60" w:line="259" w:lineRule="auto"/>
            </w:pPr>
            <w:r>
              <w:rPr>
                <w:b w:val="0"/>
                <w:sz w:val="20"/>
              </w:rPr>
              <w:t>当前剩余载荷、额定载重、机体空质量</w:t>
            </w:r>
          </w:p>
        </w:tc>
        <w:tc>
          <w:tcPr>
            <w:tcW w:type="dxa" w:w="4234"/>
            <w:vAlign w:val="center"/>
          </w:tcPr>
          <w:p>
            <w:pPr>
              <w:spacing w:before="60" w:after="60" w:line="259" w:lineRule="auto"/>
            </w:pPr>
            <w:r>
              <w:rPr>
                <w:b w:val="0"/>
                <w:sz w:val="20"/>
              </w:rPr>
              <w:t>kg</w:t>
            </w:r>
          </w:p>
        </w:tc>
      </w:tr>
      <w:tr>
        <w:trPr>
          <w:cantSplit/>
        </w:trPr>
        <w:tc>
          <w:tcPr>
            <w:tcW w:type="dxa" w:w="1728"/>
            <w:vAlign w:val="center"/>
          </w:tcPr>
          <w:p>
            <w:pPr>
              <w:spacing w:before="60" w:after="60" w:line="259" w:lineRule="auto"/>
            </w:pPr>
            <w:r>
              <w:rPr>
                <w:b w:val="0"/>
                <w:sz w:val="20"/>
              </w:rPr>
              <w:t>R₀、R₁、Eref</w:t>
            </w:r>
          </w:p>
        </w:tc>
        <w:tc>
          <w:tcPr>
            <w:tcW w:type="dxa" w:w="4032"/>
            <w:vAlign w:val="center"/>
          </w:tcPr>
          <w:p>
            <w:pPr>
              <w:spacing w:before="60" w:after="60" w:line="259" w:lineRule="auto"/>
            </w:pPr>
            <w:r>
              <w:rPr>
                <w:b w:val="0"/>
                <w:sz w:val="20"/>
              </w:rPr>
              <w:t>空载/满载参考航程、参考电量</w:t>
            </w:r>
          </w:p>
        </w:tc>
        <w:tc>
          <w:tcPr>
            <w:tcW w:type="dxa" w:w="4234"/>
            <w:vAlign w:val="center"/>
          </w:tcPr>
          <w:p>
            <w:pPr>
              <w:spacing w:before="60" w:after="60" w:line="259" w:lineRule="auto"/>
            </w:pPr>
            <w:r>
              <w:rPr>
                <w:b w:val="0"/>
                <w:sz w:val="20"/>
              </w:rPr>
              <w:t>m、m、kWh</w:t>
            </w:r>
          </w:p>
        </w:tc>
      </w:tr>
      <w:tr>
        <w:trPr>
          <w:cantSplit/>
        </w:trPr>
        <w:tc>
          <w:tcPr>
            <w:tcW w:type="dxa" w:w="1728"/>
            <w:vAlign w:val="center"/>
          </w:tcPr>
          <w:p>
            <w:pPr>
              <w:spacing w:before="60" w:after="60" w:line="259" w:lineRule="auto"/>
            </w:pPr>
            <w:r>
              <w:rPr>
                <w:b w:val="0"/>
                <w:sz w:val="20"/>
              </w:rPr>
              <w:t>v、v↑、v↓、η</w:t>
            </w:r>
          </w:p>
        </w:tc>
        <w:tc>
          <w:tcPr>
            <w:tcW w:type="dxa" w:w="4032"/>
            <w:vAlign w:val="center"/>
          </w:tcPr>
          <w:p>
            <w:pPr>
              <w:spacing w:before="60" w:after="60" w:line="259" w:lineRule="auto"/>
            </w:pPr>
            <w:r>
              <w:rPr>
                <w:b w:val="0"/>
                <w:sz w:val="20"/>
              </w:rPr>
              <w:t>水平/爬升/下降速度、爬升效率</w:t>
            </w:r>
          </w:p>
        </w:tc>
        <w:tc>
          <w:tcPr>
            <w:tcW w:type="dxa" w:w="4234"/>
            <w:vAlign w:val="center"/>
          </w:tcPr>
          <w:p>
            <w:pPr>
              <w:spacing w:before="60" w:after="60" w:line="259" w:lineRule="auto"/>
            </w:pPr>
            <w:r>
              <w:rPr>
                <w:b w:val="0"/>
                <w:sz w:val="20"/>
              </w:rPr>
              <w:t>m/s、无量纲</w:t>
            </w:r>
          </w:p>
        </w:tc>
      </w:tr>
      <w:tr>
        <w:trPr>
          <w:cantSplit/>
        </w:trPr>
        <w:tc>
          <w:tcPr>
            <w:tcW w:type="dxa" w:w="1728"/>
            <w:vAlign w:val="center"/>
          </w:tcPr>
          <w:p>
            <w:pPr>
              <w:spacing w:before="60" w:after="60" w:line="259" w:lineRule="auto"/>
            </w:pPr>
            <w:r>
              <w:rPr>
                <w:b w:val="0"/>
                <w:sz w:val="20"/>
              </w:rPr>
              <w:t>C、q、s、ρ</w:t>
            </w:r>
          </w:p>
        </w:tc>
        <w:tc>
          <w:tcPr>
            <w:tcW w:type="dxa" w:w="4032"/>
            <w:vAlign w:val="center"/>
          </w:tcPr>
          <w:p>
            <w:pPr>
              <w:spacing w:before="60" w:after="60" w:line="259" w:lineRule="auto"/>
            </w:pPr>
            <w:r>
              <w:rPr>
                <w:b w:val="0"/>
                <w:sz w:val="20"/>
              </w:rPr>
              <w:t>电池额定容量、SOH、出发SOC、最低返航SOC</w:t>
            </w:r>
          </w:p>
        </w:tc>
        <w:tc>
          <w:tcPr>
            <w:tcW w:type="dxa" w:w="4234"/>
            <w:vAlign w:val="center"/>
          </w:tcPr>
          <w:p>
            <w:pPr>
              <w:spacing w:before="60" w:after="60" w:line="259" w:lineRule="auto"/>
            </w:pPr>
            <w:r>
              <w:rPr>
                <w:b w:val="0"/>
                <w:sz w:val="20"/>
              </w:rPr>
              <w:t>kWh、无量纲</w:t>
            </w:r>
          </w:p>
        </w:tc>
      </w:tr>
    </w:tbl>
    <w:p>
      <w:pPr>
        <w:spacing w:after="20"/>
      </w:pPr>
    </w:p>
    <w:p>
      <w:pPr>
        <w:pStyle w:val="Heading2"/>
      </w:pPr>
      <w:r>
        <w:t>7.2 真实升降与时长</w:t>
      </w:r>
    </w:p>
    <w:p>
      <w:pPr>
        <w:keepNext/>
      </w:pPr>
      <w:r>
        <w:rPr>
          <w:b w:val="0"/>
        </w:rPr>
        <w:t>基地工作高度为地面高程；需求点工作高度为地面高程加服务高度，默认30m。每个航段的巡航高度取沿路最高地形加净空与两端工作高度的最大值，默认净空50m，但实际读取当前机型参数：</w:t>
      </w:r>
    </w:p>
    <w:p>
      <w:pPr>
        <w:keepNext/>
        <w:spacing w:before="120" w:after="160"/>
      </w:pPr>
      <m:oMathPara>
        <m:oMath>
          <m:r>
            <m:t>H</m:t>
          </m:r>
          <m:r>
            <m:t> </m:t>
          </m:r>
          <m:r>
            <m:t>=</m:t>
          </m:r>
          <m:r>
            <m:t> </m:t>
          </m:r>
          <m:r>
            <m:t>max</m:t>
          </m:r>
          <m:r>
            <m:t>(</m:t>
          </m:r>
          <m:sSub>
            <m:e>
              <m:r>
                <m:t>H</m:t>
              </m:r>
            </m:e>
            <m:sub>
              <m:r>
                <m:t>t</m:t>
              </m:r>
              <m:r>
                <m:t>e</m:t>
              </m:r>
              <m:r>
                <m:t>r</m:t>
              </m:r>
              <m:r>
                <m:t>r</m:t>
              </m:r>
              <m:r>
                <m:t>a</m:t>
              </m:r>
              <m:r>
                <m:t>i</m:t>
              </m:r>
              <m:r>
                <m:t>n</m:t>
              </m:r>
              <m:r>
                <m:t>,</m:t>
              </m:r>
              <m:r>
                <m:t>m</m:t>
              </m:r>
              <m:r>
                <m:t>a</m:t>
              </m:r>
              <m:r>
                <m:t>x</m:t>
              </m:r>
            </m:sub>
          </m:sSub>
          <m:r>
            <m:t>+</m:t>
          </m:r>
          <m:sSub>
            <m:e>
              <m:r>
                <m:t>h</m:t>
              </m:r>
            </m:e>
            <m:sub>
              <m:r>
                <m:t>c</m:t>
              </m:r>
              <m:r>
                <m:t>l</m:t>
              </m:r>
              <m:r>
                <m:t>e</m:t>
              </m:r>
              <m:r>
                <m:t>a</m:t>
              </m:r>
              <m:r>
                <m:t>r</m:t>
              </m:r>
              <m:r>
                <m:t>a</m:t>
              </m:r>
              <m:r>
                <m:t>n</m:t>
              </m:r>
              <m:r>
                <m:t>c</m:t>
              </m:r>
              <m:r>
                <m:t>e</m:t>
              </m:r>
            </m:sub>
          </m:sSub>
          <m:r>
            <m:t>,</m:t>
          </m:r>
          <m:r>
            <m:t> </m:t>
          </m:r>
          <m:sSub>
            <m:e>
              <m:r>
                <m:t>z</m:t>
              </m:r>
            </m:e>
            <m:sub>
              <m:r>
                <m:t>s</m:t>
              </m:r>
              <m:r>
                <m:t>t</m:t>
              </m:r>
              <m:r>
                <m:t>a</m:t>
              </m:r>
              <m:r>
                <m:t>r</m:t>
              </m:r>
              <m:r>
                <m:t>t</m:t>
              </m:r>
              <m:r>
                <m:t>,</m:t>
              </m:r>
              <m:r>
                <m:t>w</m:t>
              </m:r>
              <m:r>
                <m:t>o</m:t>
              </m:r>
              <m:r>
                <m:t>r</m:t>
              </m:r>
              <m:r>
                <m:t>k</m:t>
              </m:r>
            </m:sub>
          </m:sSub>
          <m:r>
            <m:t>,</m:t>
          </m:r>
          <m:r>
            <m:t> </m:t>
          </m:r>
          <m:sSub>
            <m:e>
              <m:r>
                <m:t>z</m:t>
              </m:r>
            </m:e>
            <m:sub>
              <m:r>
                <m:t>e</m:t>
              </m:r>
              <m:r>
                <m:t>n</m:t>
              </m:r>
              <m:r>
                <m:t>d</m:t>
              </m:r>
              <m:r>
                <m:t>,</m:t>
              </m:r>
              <m:r>
                <m:t>w</m:t>
              </m:r>
              <m:r>
                <m:t>o</m:t>
              </m:r>
              <m:r>
                <m:t>r</m:t>
              </m:r>
              <m:r>
                <m:t>k</m:t>
              </m:r>
            </m:sub>
          </m:sSub>
          <m:r>
            <m:t>)</m:t>
          </m:r>
        </m:oMath>
      </m:oMathPara>
    </w:p>
    <w:p>
      <w:pPr>
        <w:keepNext/>
        <w:spacing w:before="120" w:after="160"/>
      </w:pPr>
      <m:oMathPara>
        <m:oMath>
          <m:r>
            <m:t>Δ</m:t>
          </m:r>
          <m:r>
            <m:t> </m:t>
          </m:r>
          <m:sSub>
            <m:e>
              <m:r>
                <m:t>h</m:t>
              </m:r>
            </m:e>
            <m:sub>
              <m:r>
                <m:t>u</m:t>
              </m:r>
              <m:r>
                <m:t>p</m:t>
              </m:r>
            </m:sub>
          </m:sSub>
          <m:r>
            <m:t>=</m:t>
          </m:r>
          <m:r>
            <m:t>max</m:t>
          </m:r>
          <m:r>
            <m:t>(</m:t>
          </m:r>
          <m:r>
            <m:t>0</m:t>
          </m:r>
          <m:r>
            <m:t>,</m:t>
          </m:r>
          <m:r>
            <m:t>H</m:t>
          </m:r>
          <m:r>
            <m:t>-</m:t>
          </m:r>
          <m:sSub>
            <m:e>
              <m:r>
                <m:t>z</m:t>
              </m:r>
            </m:e>
            <m:sub>
              <m:r>
                <m:t>s</m:t>
              </m:r>
              <m:r>
                <m:t>t</m:t>
              </m:r>
              <m:r>
                <m:t>a</m:t>
              </m:r>
              <m:r>
                <m:t>r</m:t>
              </m:r>
              <m:r>
                <m:t>t</m:t>
              </m:r>
              <m:r>
                <m:t>,</m:t>
              </m:r>
              <m:r>
                <m:t>w</m:t>
              </m:r>
              <m:r>
                <m:t>o</m:t>
              </m:r>
              <m:r>
                <m:t>r</m:t>
              </m:r>
              <m:r>
                <m:t>k</m:t>
              </m:r>
            </m:sub>
          </m:sSub>
          <m:r>
            <m:t>)</m:t>
          </m:r>
          <m:r>
            <m:t>,</m:t>
          </m:r>
          <m:r>
            <m:t>  </m:t>
          </m:r>
          <m:r>
            <m:t> </m:t>
          </m:r>
          <m:r>
            <m:t>Δ</m:t>
          </m:r>
          <m:r>
            <m:t> </m:t>
          </m:r>
          <m:sSub>
            <m:e>
              <m:r>
                <m:t>h</m:t>
              </m:r>
            </m:e>
            <m:sub>
              <m:r>
                <m:t>d</m:t>
              </m:r>
              <m:r>
                <m:t>o</m:t>
              </m:r>
              <m:r>
                <m:t>w</m:t>
              </m:r>
              <m:r>
                <m:t>n</m:t>
              </m:r>
            </m:sub>
          </m:sSub>
          <m:r>
            <m:t>=</m:t>
          </m:r>
          <m:r>
            <m:t>max</m:t>
          </m:r>
          <m:r>
            <m:t>(</m:t>
          </m:r>
          <m:r>
            <m:t>0</m:t>
          </m:r>
          <m:r>
            <m:t>,</m:t>
          </m:r>
          <m:r>
            <m:t>H</m:t>
          </m:r>
          <m:r>
            <m:t>-</m:t>
          </m:r>
          <m:sSub>
            <m:e>
              <m:r>
                <m:t>z</m:t>
              </m:r>
            </m:e>
            <m:sub>
              <m:r>
                <m:t>e</m:t>
              </m:r>
              <m:r>
                <m:t>n</m:t>
              </m:r>
              <m:r>
                <m:t>d</m:t>
              </m:r>
              <m:r>
                <m:t>,</m:t>
              </m:r>
              <m:r>
                <m:t>w</m:t>
              </m:r>
              <m:r>
                <m:t>o</m:t>
              </m:r>
              <m:r>
                <m:t>r</m:t>
              </m:r>
              <m:r>
                <m:t>k</m:t>
              </m:r>
            </m:sub>
          </m:sSub>
          <m:r>
            <m:t>)</m:t>
          </m:r>
        </m:oMath>
      </m:oMathPara>
    </w:p>
    <w:p>
      <w:pPr>
        <w:keepNext w:val="0"/>
        <w:spacing w:before="120" w:after="160"/>
      </w:pPr>
      <m:oMathPara>
        <m:oMath>
          <m:sSub>
            <m:e>
              <m:r>
                <m:t>t</m:t>
              </m:r>
            </m:e>
            <m:sub>
              <m:r>
                <m:t>l</m:t>
              </m:r>
              <m:r>
                <m:t>e</m:t>
              </m:r>
              <m:r>
                <m:t>g</m:t>
              </m:r>
            </m:sub>
          </m:sSub>
          <m:r>
            <m:t>=</m:t>
          </m:r>
          <m:r>
            <m:t>(</m:t>
          </m:r>
          <m:r>
            <m:t>d</m:t>
          </m:r>
          <m:r>
            <m:t>/</m:t>
          </m:r>
          <m:r>
            <m:t>v</m:t>
          </m:r>
          <m:r>
            <m:t>+</m:t>
          </m:r>
          <m:r>
            <m:t>Δ</m:t>
          </m:r>
          <m:r>
            <m:t> </m:t>
          </m:r>
          <m:sSub>
            <m:e>
              <m:r>
                <m:t>h</m:t>
              </m:r>
            </m:e>
            <m:sub>
              <m:r>
                <m:t>u</m:t>
              </m:r>
              <m:r>
                <m:t>p</m:t>
              </m:r>
            </m:sub>
          </m:sSub>
          <m:r>
            <m:t>/</m:t>
          </m:r>
          <m:sSub>
            <m:e>
              <m:r>
                <m:t>v</m:t>
              </m:r>
            </m:e>
            <m:sub>
              <m:r>
                <m:t>u</m:t>
              </m:r>
              <m:r>
                <m:t>p</m:t>
              </m:r>
            </m:sub>
          </m:sSub>
          <m:r>
            <m:t>+</m:t>
          </m:r>
          <m:r>
            <m:t>Δ</m:t>
          </m:r>
          <m:r>
            <m:t> </m:t>
          </m:r>
          <m:sSub>
            <m:e>
              <m:r>
                <m:t>h</m:t>
              </m:r>
            </m:e>
            <m:sub>
              <m:r>
                <m:t>d</m:t>
              </m:r>
              <m:r>
                <m:t>o</m:t>
              </m:r>
              <m:r>
                <m:t>w</m:t>
              </m:r>
              <m:r>
                <m:t>n</m:t>
              </m:r>
            </m:sub>
          </m:sSub>
          <m:r>
            <m:t>/</m:t>
          </m:r>
          <m:sSub>
            <m:e>
              <m:r>
                <m:t>v</m:t>
              </m:r>
            </m:e>
            <m:sub>
              <m:r>
                <m:t>d</m:t>
              </m:r>
              <m:r>
                <m:t>o</m:t>
              </m:r>
              <m:r>
                <m:t>w</m:t>
              </m:r>
              <m:r>
                <m:t>n</m:t>
              </m:r>
            </m:sub>
          </m:sSub>
          <m:r>
            <m:t>)</m:t>
          </m:r>
          <m:r>
            <m:t> </m:t>
          </m:r>
          <m:sSub>
            <m:e>
              <m:r>
                <m:t>k</m:t>
              </m:r>
            </m:e>
            <m:sub>
              <m:r>
                <m:t>t</m:t>
              </m:r>
            </m:sub>
          </m:sSub>
        </m:oMath>
      </m:oMathPara>
    </w:p>
    <w:p>
      <w:r>
        <w:rPr>
          <w:b w:val="0"/>
        </w:rPr>
        <w:t>每个访问点后按下一航段重新升降，不是一条贴地直线，也不是所有航段统一一个全局高度。</w:t>
      </w:r>
      <w:r>
        <w:rPr>
          <w:rFonts w:ascii="Consolas" w:hAnsi="Consolas"/>
          <w:b w:val="0"/>
          <w:color w:val="234C54"/>
          <w:sz w:val="20"/>
        </w:rPr>
        <w:t>k_t</w:t>
      </w:r>
      <w:r>
        <w:rPr>
          <w:b w:val="0"/>
        </w:rPr>
        <w:t>为明确的飞行时间压力倍率。准备时长为机型固定准备加每箱装载时间，交付时刻取停靠交接完成时刻；同次停靠的箱件共享该交接完成时间。</w:t>
      </w:r>
    </w:p>
    <w:p>
      <w:pPr>
        <w:pStyle w:val="Heading2"/>
      </w:pPr>
      <w:r>
        <w:t>7.3 载荷相关能源</w:t>
      </w:r>
    </w:p>
    <w:p>
      <w:pPr>
        <w:keepNext/>
      </w:pPr>
      <w:r>
        <w:rPr>
          <w:b w:val="0"/>
        </w:rPr>
        <w:t>去程每段使用当时尚未交付的载荷，卸货后减少，回基地段为空载。以载荷比构造等效航程：</w:t>
      </w:r>
    </w:p>
    <w:p>
      <w:pPr>
        <w:keepNext/>
        <w:spacing w:before="120" w:after="160"/>
      </w:pPr>
      <m:oMathPara>
        <m:oMath>
          <m:r>
            <m:t>R</m:t>
          </m:r>
          <m:r>
            <m:t>(</m:t>
          </m:r>
          <m:r>
            <m:t>m</m:t>
          </m:r>
          <m:r>
            <m:t>)</m:t>
          </m:r>
          <m:r>
            <m:t>=</m:t>
          </m:r>
          <m:sSub>
            <m:e>
              <m:r>
                <m:t>R</m:t>
              </m:r>
            </m:e>
            <m:sub>
              <m:r>
                <m:t>0</m:t>
              </m:r>
            </m:sub>
          </m:sSub>
          <m:r>
            <m:t>-</m:t>
          </m:r>
          <m:r>
            <m:t>(</m:t>
          </m:r>
          <m:sSub>
            <m:e>
              <m:r>
                <m:t>R</m:t>
              </m:r>
            </m:e>
            <m:sub>
              <m:r>
                <m:t>0</m:t>
              </m:r>
            </m:sub>
          </m:sSub>
          <m:r>
            <m:t>-</m:t>
          </m:r>
          <m:sSub>
            <m:e>
              <m:r>
                <m:t>R</m:t>
              </m:r>
            </m:e>
            <m:sub>
              <m:r>
                <m:t>1</m:t>
              </m:r>
            </m:sub>
          </m:sSub>
          <m:r>
            <m:t>)</m:t>
          </m:r>
          <m:r>
            <m:t>(</m:t>
          </m:r>
          <m:r>
            <m:t>m</m:t>
          </m:r>
          <m:r>
            <m:t>/</m:t>
          </m:r>
          <m:r>
            <m:t>M</m:t>
          </m:r>
          <m:sSup>
            <m:e>
              <m:r>
                <m:t>)</m:t>
              </m:r>
            </m:e>
            <m:sup>
              <m:r>
                <m:t>1</m:t>
              </m:r>
              <m:r>
                <m:t>.</m:t>
              </m:r>
              <m:r>
                <m:t>5</m:t>
              </m:r>
            </m:sup>
          </m:sSup>
        </m:oMath>
      </m:oMathPara>
    </w:p>
    <w:p>
      <w:pPr>
        <w:keepNext w:val="0"/>
        <w:spacing w:before="120" w:after="160"/>
      </w:pPr>
      <m:oMathPara>
        <m:oMath>
          <m:sSub>
            <m:e>
              <m:r>
                <m:t>E</m:t>
              </m:r>
            </m:e>
            <m:sub>
              <m:r>
                <m:t>l</m:t>
              </m:r>
              <m:r>
                <m:t>e</m:t>
              </m:r>
              <m:r>
                <m:t>g</m:t>
              </m:r>
            </m:sub>
          </m:sSub>
          <m:r>
            <m:t>=</m:t>
          </m:r>
          <m:sSub>
            <m:e>
              <m:r>
                <m:t>k</m:t>
              </m:r>
            </m:e>
            <m:sub>
              <m:r>
                <m:t>E</m:t>
              </m:r>
            </m:sub>
          </m:sSub>
          <m:r>
            <m:t>(</m:t>
          </m:r>
          <m:sSub>
            <m:e>
              <m:r>
                <m:t>E</m:t>
              </m:r>
            </m:e>
            <m:sub>
              <m:r>
                <m:t>r</m:t>
              </m:r>
              <m:r>
                <m:t>e</m:t>
              </m:r>
              <m:r>
                <m:t>f</m:t>
              </m:r>
            </m:sub>
          </m:sSub>
          <m:r>
            <m:t> </m:t>
          </m:r>
          <m:r>
            <m:t>d</m:t>
          </m:r>
          <m:r>
            <m:t>/</m:t>
          </m:r>
          <m:r>
            <m:t>R</m:t>
          </m:r>
          <m:r>
            <m:t>(</m:t>
          </m:r>
          <m:r>
            <m:t>m</m:t>
          </m:r>
          <m:r>
            <m:t>)</m:t>
          </m:r>
          <m:r>
            <m:t>+</m:t>
          </m:r>
          <m:r>
            <m:t>(</m:t>
          </m:r>
          <m:sSub>
            <m:e>
              <m:r>
                <m:t>m</m:t>
              </m:r>
            </m:e>
            <m:sub>
              <m:r>
                <m:t>0</m:t>
              </m:r>
            </m:sub>
          </m:sSub>
          <m:r>
            <m:t>+</m:t>
          </m:r>
          <m:r>
            <m:t>m</m:t>
          </m:r>
          <m:r>
            <m:t>)</m:t>
          </m:r>
          <m:r>
            <m:t>g</m:t>
          </m:r>
          <m:r>
            <m:t>Δ</m:t>
          </m:r>
          <m:r>
            <m:t> </m:t>
          </m:r>
          <m:sSub>
            <m:e>
              <m:r>
                <m:t>h</m:t>
              </m:r>
            </m:e>
            <m:sub>
              <m:r>
                <m:t>u</m:t>
              </m:r>
              <m:r>
                <m:t>p</m:t>
              </m:r>
            </m:sub>
          </m:sSub>
          <m:r>
            <m:t>/</m:t>
          </m:r>
          <m:r>
            <m:t>(</m:t>
          </m:r>
          <m:r>
            <m:t>η</m:t>
          </m:r>
          <m:r>
            <m:t> </m:t>
          </m:r>
          <m:r>
            <m:t>3</m:t>
          </m:r>
          <m:r>
            <m:t>6</m:t>
          </m:r>
          <m:r>
            <m:t>0</m:t>
          </m:r>
          <m:r>
            <m:t>0</m:t>
          </m:r>
          <m:r>
            <m:t>0</m:t>
          </m:r>
          <m:r>
            <m:t>0</m:t>
          </m:r>
          <m:r>
            <m:t>0</m:t>
          </m:r>
          <m:r>
            <m:t>)</m:t>
          </m:r>
          <m:r>
            <m:t>)</m:t>
          </m:r>
        </m:oMath>
      </m:oMathPara>
    </w:p>
    <w:p>
      <w:r>
        <w:rPr>
          <w:b w:val="0"/>
        </w:rPr>
        <w:t>这里</w:t>
      </w:r>
      <w:r>
        <w:rPr>
          <w:rFonts w:ascii="Consolas" w:hAnsi="Consolas"/>
          <w:b w:val="0"/>
          <w:color w:val="234C54"/>
          <w:sz w:val="20"/>
        </w:rPr>
        <w:t>g=9.81m/s²</w:t>
      </w:r>
      <w:r>
        <w:rPr>
          <w:b w:val="0"/>
        </w:rPr>
        <w:t>，3600000用于将焦耳转换为kWh，</w:t>
      </w:r>
      <w:r>
        <w:rPr>
          <w:rFonts w:ascii="Consolas" w:hAnsi="Consolas"/>
          <w:b w:val="0"/>
          <w:color w:val="234C54"/>
          <w:sz w:val="20"/>
        </w:rPr>
        <w:t>k_E</w:t>
      </w:r>
      <w:r>
        <w:rPr>
          <w:b w:val="0"/>
        </w:rPr>
        <w:t>为显式能源压力倍率。运输题设模型没有额外计算下降、准备和交接耗电，也没有下降能量回收。不能因此声称真实无人机下降或交接不耗电；中继悬停和通信另有功率模型。</w:t>
      </w:r>
    </w:p>
    <w:p>
      <w:pPr>
        <w:keepNext/>
      </w:pPr>
      <w:r>
        <w:rPr>
          <w:b w:val="0"/>
        </w:rPr>
        <w:t>电池有效容量为</w:t>
      </w:r>
      <w:r>
        <w:rPr>
          <w:rFonts w:ascii="Consolas" w:hAnsi="Consolas"/>
          <w:b w:val="0"/>
          <w:color w:val="234C54"/>
          <w:sz w:val="20"/>
        </w:rPr>
        <w:t>C×q</w:t>
      </w:r>
      <w:r>
        <w:rPr>
          <w:b w:val="0"/>
        </w:rPr>
        <w:t>，满足：</w:t>
      </w:r>
    </w:p>
    <w:p>
      <w:pPr>
        <w:keepNext w:val="0"/>
        <w:spacing w:before="120" w:after="160"/>
      </w:pPr>
      <m:oMathPara>
        <m:oMath>
          <m:r>
            <m:t>S</m:t>
          </m:r>
          <m:r>
            <m:t>O</m:t>
          </m:r>
          <m:sSub>
            <m:e>
              <m:r>
                <m:t>C</m:t>
              </m:r>
            </m:e>
            <m:sub>
              <m:r>
                <m:t>r</m:t>
              </m:r>
              <m:r>
                <m:t>e</m:t>
              </m:r>
              <m:r>
                <m:t>t</m:t>
              </m:r>
              <m:r>
                <m:t>u</m:t>
              </m:r>
              <m:r>
                <m:t>r</m:t>
              </m:r>
              <m:r>
                <m:t>n</m:t>
              </m:r>
            </m:sub>
          </m:sSub>
          <m:r>
            <m:t>=</m:t>
          </m:r>
          <m:r>
            <m:t>s</m:t>
          </m:r>
          <m:r>
            <m:t>-</m:t>
          </m:r>
          <m:sSub>
            <m:e>
              <m:r>
                <m:t>E</m:t>
              </m:r>
            </m:e>
            <m:sub>
              <m:r>
                <m:t>s</m:t>
              </m:r>
              <m:r>
                <m:t>o</m:t>
              </m:r>
              <m:r>
                <m:t>r</m:t>
              </m:r>
              <m:r>
                <m:t>t</m:t>
              </m:r>
              <m:r>
                <m:t>i</m:t>
              </m:r>
              <m:r>
                <m:t>e</m:t>
              </m:r>
            </m:sub>
          </m:sSub>
          <m:r>
            <m:t>/</m:t>
          </m:r>
          <m:r>
            <m:t>(</m:t>
          </m:r>
          <m:r>
            <m:t>C</m:t>
          </m:r>
          <m:r>
            <m:t>q</m:t>
          </m:r>
          <m:r>
            <m:t>)</m:t>
          </m:r>
          <m:r>
            <m:t> </m:t>
          </m:r>
          <m:r>
            <m:t>≥</m:t>
          </m:r>
          <m:r>
            <m:t>ρ</m:t>
          </m:r>
        </m:oMath>
      </m:oMathPara>
    </w:p>
    <w:p>
      <w:r>
        <w:rPr>
          <w:b w:val="0"/>
        </w:rPr>
        <w:t>默认</w:t>
      </w:r>
      <w:r>
        <w:rPr>
          <w:rFonts w:ascii="Consolas" w:hAnsi="Consolas"/>
          <w:b w:val="0"/>
          <w:color w:val="234C54"/>
          <w:sz w:val="20"/>
        </w:rPr>
        <w:t>ρ=0.2</w:t>
      </w:r>
      <w:r>
        <w:rPr>
          <w:b w:val="0"/>
        </w:rPr>
        <w:t>来自原题，可按当前策略修改。质量和总体积分别不超过机型上限；体积总和可行不等于任意几何形状都能装入货舱。当前没有三维装箱、温度降额或完整电化学模型。</w:t>
      </w:r>
    </w:p>
    <w:p>
      <w:pPr>
        <w:pStyle w:val="Heading2"/>
      </w:pPr>
      <w:r>
        <w:t>7.4 两阶段充电与资源释放</w:t>
      </w:r>
    </w:p>
    <w:p>
      <w:r>
        <w:rPr>
          <w:b w:val="0"/>
        </w:rPr>
        <w:t>从SOC为s充满的时间，设满充总时长为F：低于90%时为</w:t>
      </w:r>
      <w:r>
        <w:rPr>
          <w:rFonts w:ascii="Consolas" w:hAnsi="Consolas"/>
          <w:b w:val="0"/>
          <w:color w:val="234C54"/>
          <w:sz w:val="20"/>
        </w:rPr>
        <w:t>F×[0.65×(0.9−s)/0.9+0.35]</w:t>
      </w:r>
      <w:r>
        <w:rPr>
          <w:b w:val="0"/>
        </w:rPr>
        <w:t>；90%以上为</w:t>
      </w:r>
      <w:r>
        <w:rPr>
          <w:rFonts w:ascii="Consolas" w:hAnsi="Consolas"/>
          <w:b w:val="0"/>
          <w:color w:val="234C54"/>
          <w:sz w:val="20"/>
        </w:rPr>
        <w:t>F×0.35×(1−s)/0.1</w:t>
      </w:r>
      <w:r>
        <w:rPr>
          <w:b w:val="0"/>
        </w:rPr>
        <w:t>。第一段占满充时长65%，最后10%占35%。</w:t>
      </w:r>
    </w:p>
    <w:p>
      <w:r>
        <w:rPr>
          <w:b w:val="0"/>
        </w:rPr>
        <w:t>机体占用从准备开始到返航后自身周转结束；电池占用从准备开始到排队充满结束。启用</w:t>
      </w:r>
      <w:r>
        <w:rPr>
          <w:rFonts w:ascii="Consolas" w:hAnsi="Consolas"/>
          <w:b w:val="0"/>
          <w:color w:val="234C54"/>
          <w:sz w:val="20"/>
        </w:rPr>
        <w:t>resource_limits</w:t>
      </w:r>
      <w:r>
        <w:rPr>
          <w:b w:val="0"/>
        </w:rPr>
        <w:t>后，准备工位和充电端口分别是有限容量资源，运输与中继共同竞争。未配置容量时沿用题设并行假设，不能说已经约束实际现场的端口、总供电功率、人员或起降位。低SOC运输初始补能有真实日历安排，深入和联合模型的额外适用限制见下章。</w:t>
      </w:r>
    </w:p>
    <w:p>
      <w:pPr>
        <w:pStyle w:val="Heading1"/>
      </w:pPr>
      <w:r>
        <w:t>8 优化目标与策略版本</w:t>
      </w:r>
    </w:p>
    <w:p>
      <w:pPr>
        <w:pStyle w:val="Heading2"/>
      </w:pPr>
      <w:r>
        <w:t>8.1 共同可行域</w:t>
      </w:r>
    </w:p>
    <w:p>
      <w:r>
        <w:rPr>
          <w:b w:val="0"/>
        </w:rPr>
        <w:t>各偏好均要求完整需求、箱件唯一、库存可用、质量体积合规、机体与能源兼容、实体不重叠、硬截止、返航储备及当前明确要求的地形、限制区、地面、气象或通信检查。不能靠少送物资、移除硬截止或关闭通信，让某个偏好显得更好。</w:t>
      </w:r>
    </w:p>
    <w:p>
      <w:pPr>
        <w:keepNext/>
      </w:pPr>
      <w:r>
        <w:rPr>
          <w:b w:val="0"/>
        </w:rPr>
        <w:t>设T为最后返航时刻，E为能源，L为逐箱优先级加权期望延期：</w:t>
      </w:r>
    </w:p>
    <w:p>
      <w:pPr>
        <w:keepNext w:val="0"/>
        <w:spacing w:before="120" w:after="160"/>
      </w:pPr>
      <m:oMathPara>
        <m:oMath>
          <m:r>
            <m:t>L</m:t>
          </m:r>
          <m:r>
            <m:t>=</m:t>
          </m:r>
          <m:sSub>
            <m:e>
              <m:r>
                <m:t>∑</m:t>
              </m:r>
            </m:e>
            <m:sub>
              <m:r>
                <m:t>b</m:t>
              </m:r>
            </m:sub>
          </m:sSub>
          <m:r>
            <m:t> </m:t>
          </m:r>
          <m:r>
            <m:t>p</m:t>
          </m:r>
          <m:r>
            <m:t>r</m:t>
          </m:r>
          <m:r>
            <m:t>i</m:t>
          </m:r>
          <m:r>
            <m:t>o</m:t>
          </m:r>
          <m:r>
            <m:t>r</m:t>
          </m:r>
          <m:r>
            <m:t>i</m:t>
          </m:r>
          <m:r>
            <m:t>t</m:t>
          </m:r>
          <m:sSub>
            <m:e>
              <m:r>
                <m:t>y</m:t>
              </m:r>
            </m:e>
            <m:sub>
              <m:r>
                <m:t>d</m:t>
              </m:r>
              <m:r>
                <m:t>(</m:t>
              </m:r>
              <m:r>
                <m:t>b</m:t>
              </m:r>
              <m:r>
                <m:t>)</m:t>
              </m:r>
            </m:sub>
          </m:sSub>
          <m:r>
            <m:t>max</m:t>
          </m:r>
          <m:r>
            <m:t>(</m:t>
          </m:r>
          <m:r>
            <m:t>0</m:t>
          </m:r>
          <m:r>
            <m:t>,</m:t>
          </m:r>
          <m:sSub>
            <m:e>
              <m:r>
                <m:t>t</m:t>
              </m:r>
            </m:e>
            <m:sub>
              <m:r>
                <m:t>d</m:t>
              </m:r>
              <m:r>
                <m:t>e</m:t>
              </m:r>
              <m:r>
                <m:t>l</m:t>
              </m:r>
              <m:r>
                <m:t>i</m:t>
              </m:r>
              <m:r>
                <m:t>v</m:t>
              </m:r>
              <m:r>
                <m:t>e</m:t>
              </m:r>
              <m:r>
                <m:t>r</m:t>
              </m:r>
              <m:r>
                <m:t>y</m:t>
              </m:r>
              <m:r>
                <m:t>,</m:t>
              </m:r>
              <m:r>
                <m:t>b</m:t>
              </m:r>
            </m:sub>
          </m:sSub>
          <m:r>
            <m:t>-</m:t>
          </m:r>
          <m:r>
            <m:t>d</m:t>
          </m:r>
          <m:r>
            <m:t>u</m:t>
          </m:r>
          <m:sSub>
            <m:e>
              <m:r>
                <m:t>e</m:t>
              </m:r>
            </m:e>
            <m:sub>
              <m:r>
                <m:t>e</m:t>
              </m:r>
              <m:r>
                <m:t>x</m:t>
              </m:r>
              <m:r>
                <m:t>p</m:t>
              </m:r>
              <m:r>
                <m:t>e</m:t>
              </m:r>
              <m:r>
                <m:t>c</m:t>
              </m:r>
              <m:r>
                <m:t>t</m:t>
              </m:r>
              <m:r>
                <m:t>e</m:t>
              </m:r>
              <m:r>
                <m:t>d</m:t>
              </m:r>
              <m:r>
                <m:t>,</m:t>
              </m:r>
              <m:r>
                <m:t>d</m:t>
              </m:r>
              <m:r>
                <m:t>(</m:t>
              </m:r>
              <m:r>
                <m:t>b</m:t>
              </m:r>
              <m:r>
                <m:t>)</m:t>
              </m:r>
            </m:sub>
          </m:sSub>
          <m:r>
            <m:t>)</m:t>
          </m:r>
        </m:oMath>
      </m:oMathPara>
    </w:p>
    <w:p>
      <w:r>
        <w:rPr>
          <w:b w:val="0"/>
        </w:rPr>
        <w:t>没有期望截止的箱件不产生该项延期；硬截止另作约束。联合方案的T和E包含运输与中继，普通方案为运输口径。</w:t>
      </w:r>
      <w:r>
        <w:rPr>
          <w:rFonts w:ascii="Consolas" w:hAnsi="Consolas"/>
          <w:b w:val="0"/>
          <w:color w:val="234C54"/>
          <w:sz w:val="20"/>
        </w:rPr>
        <w:t>last_delivery_s</w:t>
      </w:r>
      <w:r>
        <w:rPr>
          <w:b w:val="0"/>
        </w:rPr>
        <w:t>表示最后交付，与</w:t>
      </w:r>
      <w:r>
        <w:rPr>
          <w:rFonts w:ascii="Consolas" w:hAnsi="Consolas"/>
          <w:b w:val="0"/>
          <w:color w:val="234C54"/>
          <w:sz w:val="20"/>
        </w:rPr>
        <w:t>makespan_s</w:t>
      </w:r>
      <w:r>
        <w:rPr>
          <w:b w:val="0"/>
        </w:rPr>
        <w:t>最后返航不同。</w:t>
      </w:r>
    </w:p>
    <w:p>
      <w:pPr>
        <w:pStyle w:val="Heading2"/>
      </w:pPr>
      <w:r>
        <w:t>8.2 实际排序</w:t>
      </w:r>
    </w:p>
    <w:tbl>
      <w:tblPr>
        <w:tblStyle w:val="TableGrid"/>
        <w:tblW w:type="auto" w:w="0"/>
        <w:jc w:val="center"/>
        <w:tblLayout w:type="fixed"/>
        <w:tblLook w:firstColumn="1" w:firstRow="1" w:lastColumn="0" w:lastRow="0" w:noHBand="0" w:noVBand="1" w:val="04A0"/>
      </w:tblPr>
      <w:tblGrid>
        <w:gridCol w:w="1656"/>
        <w:gridCol w:w="2736"/>
        <w:gridCol w:w="2808"/>
        <w:gridCol w:w="2794"/>
      </w:tblGrid>
      <w:tr>
        <w:trPr>
          <w:tblHeader/>
          <w:cantSplit/>
        </w:trPr>
        <w:tc>
          <w:tcPr>
            <w:tcW w:type="dxa" w:w="1656"/>
            <w:vAlign w:val="center"/>
            <w:shd w:fill="EAF0F0"/>
          </w:tcPr>
          <w:p>
            <w:pPr>
              <w:keepNext/>
              <w:spacing w:before="60" w:after="60" w:line="259" w:lineRule="auto"/>
            </w:pPr>
            <w:r>
              <w:rPr>
                <w:b/>
                <w:sz w:val="20"/>
              </w:rPr>
              <w:t>规则</w:t>
            </w:r>
          </w:p>
        </w:tc>
        <w:tc>
          <w:tcPr>
            <w:tcW w:type="dxa" w:w="2736"/>
            <w:vAlign w:val="center"/>
            <w:shd w:fill="EAF0F0"/>
          </w:tcPr>
          <w:p>
            <w:pPr>
              <w:keepNext/>
              <w:spacing w:before="60" w:after="60" w:line="259" w:lineRule="auto"/>
            </w:pPr>
            <w:r>
              <w:rPr>
                <w:b/>
                <w:sz w:val="20"/>
              </w:rPr>
              <w:t>时间优先的词典序</w:t>
            </w:r>
          </w:p>
        </w:tc>
        <w:tc>
          <w:tcPr>
            <w:tcW w:type="dxa" w:w="2808"/>
            <w:vAlign w:val="center"/>
            <w:shd w:fill="EAF0F0"/>
          </w:tcPr>
          <w:p>
            <w:pPr>
              <w:keepNext/>
              <w:spacing w:before="60" w:after="60" w:line="259" w:lineRule="auto"/>
            </w:pPr>
            <w:r>
              <w:rPr>
                <w:b/>
                <w:sz w:val="20"/>
              </w:rPr>
              <w:t>能耗优先的词典序</w:t>
            </w:r>
          </w:p>
        </w:tc>
        <w:tc>
          <w:tcPr>
            <w:tcW w:type="dxa" w:w="2794"/>
            <w:vAlign w:val="center"/>
            <w:shd w:fill="EAF0F0"/>
          </w:tcPr>
          <w:p>
            <w:pPr>
              <w:keepNext/>
              <w:spacing w:before="60" w:after="60" w:line="259" w:lineRule="auto"/>
            </w:pPr>
            <w:r>
              <w:rPr>
                <w:b/>
                <w:sz w:val="20"/>
              </w:rPr>
              <w:t>时间能耗折中的词典序</w:t>
            </w:r>
          </w:p>
        </w:tc>
      </w:tr>
      <w:tr>
        <w:trPr>
          <w:cantSplit/>
        </w:trPr>
        <w:tc>
          <w:tcPr>
            <w:tcW w:type="dxa" w:w="1656"/>
            <w:vAlign w:val="center"/>
          </w:tcPr>
          <w:p>
            <w:pPr>
              <w:spacing w:before="60" w:after="60" w:line="259" w:lineRule="auto"/>
            </w:pPr>
            <w:r>
              <w:rPr>
                <w:rFonts w:ascii="Consolas" w:hAnsi="Consolas"/>
                <w:b w:val="0"/>
                <w:color w:val="234C54"/>
                <w:sz w:val="20"/>
              </w:rPr>
              <w:t>deadline_first_v1</w:t>
            </w:r>
          </w:p>
        </w:tc>
        <w:tc>
          <w:tcPr>
            <w:tcW w:type="dxa" w:w="2736"/>
            <w:vAlign w:val="center"/>
          </w:tcPr>
          <w:p>
            <w:pPr>
              <w:spacing w:before="60" w:after="60" w:line="259" w:lineRule="auto"/>
            </w:pPr>
            <w:r>
              <w:rPr>
                <w:b w:val="0"/>
                <w:sz w:val="20"/>
              </w:rPr>
              <w:t>(L,T,E)</w:t>
            </w:r>
          </w:p>
        </w:tc>
        <w:tc>
          <w:tcPr>
            <w:tcW w:type="dxa" w:w="2808"/>
            <w:vAlign w:val="center"/>
          </w:tcPr>
          <w:p>
            <w:pPr>
              <w:spacing w:before="60" w:after="60" w:line="259" w:lineRule="auto"/>
            </w:pPr>
            <w:r>
              <w:rPr>
                <w:b w:val="0"/>
                <w:sz w:val="20"/>
              </w:rPr>
              <w:t>(L,E,T)</w:t>
            </w:r>
          </w:p>
        </w:tc>
        <w:tc>
          <w:tcPr>
            <w:tcW w:type="dxa" w:w="2794"/>
            <w:vAlign w:val="center"/>
          </w:tcPr>
          <w:p>
            <w:pPr>
              <w:spacing w:before="60" w:after="60" w:line="259" w:lineRule="auto"/>
            </w:pPr>
            <w:r>
              <w:rPr>
                <w:b w:val="0"/>
                <w:sz w:val="20"/>
              </w:rPr>
              <w:t>(L,T+300E,T)</w:t>
            </w:r>
          </w:p>
        </w:tc>
      </w:tr>
      <w:tr>
        <w:trPr>
          <w:cantSplit/>
        </w:trPr>
        <w:tc>
          <w:tcPr>
            <w:tcW w:type="dxa" w:w="1656"/>
            <w:vAlign w:val="center"/>
          </w:tcPr>
          <w:p>
            <w:pPr>
              <w:spacing w:before="60" w:after="60" w:line="259" w:lineRule="auto"/>
            </w:pPr>
            <w:r>
              <w:rPr>
                <w:rFonts w:ascii="Consolas" w:hAnsi="Consolas"/>
                <w:b w:val="0"/>
                <w:color w:val="234C54"/>
                <w:sz w:val="20"/>
              </w:rPr>
              <w:t>tradeoff_v2</w:t>
            </w:r>
          </w:p>
        </w:tc>
        <w:tc>
          <w:tcPr>
            <w:tcW w:type="dxa" w:w="2736"/>
            <w:vAlign w:val="center"/>
          </w:tcPr>
          <w:p>
            <w:pPr>
              <w:spacing w:before="60" w:after="60" w:line="259" w:lineRule="auto"/>
            </w:pPr>
            <w:r>
              <w:rPr>
                <w:b w:val="0"/>
                <w:sz w:val="20"/>
              </w:rPr>
              <w:t>(T,L,E)</w:t>
            </w:r>
          </w:p>
        </w:tc>
        <w:tc>
          <w:tcPr>
            <w:tcW w:type="dxa" w:w="2808"/>
            <w:vAlign w:val="center"/>
          </w:tcPr>
          <w:p>
            <w:pPr>
              <w:spacing w:before="60" w:after="60" w:line="259" w:lineRule="auto"/>
            </w:pPr>
            <w:r>
              <w:rPr>
                <w:b w:val="0"/>
                <w:sz w:val="20"/>
              </w:rPr>
              <w:t>(E,L,T)</w:t>
            </w:r>
          </w:p>
        </w:tc>
        <w:tc>
          <w:tcPr>
            <w:tcW w:type="dxa" w:w="2794"/>
            <w:vAlign w:val="center"/>
          </w:tcPr>
          <w:p>
            <w:pPr>
              <w:spacing w:before="60" w:after="60" w:line="259" w:lineRule="auto"/>
            </w:pPr>
            <w:r>
              <w:rPr>
                <w:b w:val="0"/>
                <w:sz w:val="20"/>
              </w:rPr>
              <w:t>(T+300E,L,T)</w:t>
            </w:r>
          </w:p>
        </w:tc>
      </w:tr>
    </w:tbl>
    <w:p>
      <w:pPr>
        <w:spacing w:after="20"/>
      </w:pPr>
    </w:p>
    <w:p>
      <w:r>
        <w:rPr>
          <w:b w:val="0"/>
        </w:rPr>
        <w:t>词典序表示先比较第一项，再比较同分后的下一项。新界面显式采用v2，旧请求缺少版本时仍按v1，旧Plan原文不重写。系数300是“每kWh折算为300秒”的固定偏好系数，不是人民币、学习结果或公平指标。</w:t>
      </w:r>
    </w:p>
    <w:p>
      <w:r>
        <w:rPr>
          <w:b w:val="0"/>
        </w:rPr>
        <w:t>三策略可能在有限候选中选中同一计划，也可能只有显示精度相同。前端应说明实际排程是否相同、目标规则和比较范围，不能强制制造不同结果。比较必须核对Snapshot、规则版本和运输/联合范围；不同输入的结果属于情景变化，不能直接归因为偏好或算法优势。</w:t>
      </w:r>
    </w:p>
    <w:p>
      <w:r>
        <w:rPr>
          <w:b w:val="0"/>
        </w:rPr>
        <w:t>原方案提到的费用优先、基本保障公平和余量优化没有作为完整新目标实现。当前</w:t>
      </w:r>
      <w:r>
        <w:rPr>
          <w:rFonts w:ascii="Consolas" w:hAnsi="Consolas"/>
          <w:b w:val="0"/>
          <w:color w:val="234C54"/>
          <w:sz w:val="20"/>
        </w:rPr>
        <w:t>cost_cny</w:t>
      </w:r>
      <w:r>
        <w:rPr>
          <w:b w:val="0"/>
        </w:rPr>
        <w:t>未配置时为null；“均衡偏好”的准确含义是时间能耗折中。</w:t>
      </w:r>
    </w:p>
    <w:p>
      <w:pPr>
        <w:pStyle w:val="Heading1"/>
      </w:pPr>
      <w:r>
        <w:t>9 快速调度和有限路线池改进</w:t>
      </w:r>
    </w:p>
    <w:p>
      <w:pPr>
        <w:pStyle w:val="Heading2"/>
      </w:pPr>
      <w:r>
        <w:t>9.1 快速多起点构造</w:t>
      </w:r>
    </w:p>
    <w:p>
      <w:r>
        <w:rPr>
          <w:b w:val="0"/>
        </w:rPr>
        <w:t>入口为</w:t>
      </w:r>
      <w:r>
        <w:rPr>
          <w:rFonts w:ascii="Consolas" w:hAnsi="Consolas"/>
          <w:b w:val="0"/>
          <w:color w:val="234C54"/>
          <w:sz w:val="20"/>
        </w:rPr>
        <w:t>solver.public_api.solve</w:t>
      </w:r>
      <w:r>
        <w:rPr>
          <w:b w:val="0"/>
        </w:rPr>
        <w:t>。先检查输入、范围、模型参数、基地、箱件库存、可用机体、电池、天气和资产，拒绝Mock或已有执行事实被普通静态求解覆盖。正式求解选择每项需求所需的可用实物；多余库存按当前探索的质量/体积评分选择，不直接假定全部出库。</w:t>
      </w:r>
    </w:p>
    <w:p>
      <w:r>
        <w:rPr>
          <w:b w:val="0"/>
        </w:rPr>
        <w:t>构造过程如下：</w:t>
      </w:r>
    </w:p>
    <w:p>
      <w:pPr>
        <w:ind w:left="230" w:hanging="230"/>
      </w:pPr>
      <w:r>
        <w:rPr>
          <w:b w:val="0"/>
        </w:rPr>
        <w:t>1. 按截止、优先级等规则选取当前焦点箱件，尝试有资格的兼容机型。</w:t>
      </w:r>
    </w:p>
    <w:p>
      <w:pPr>
        <w:ind w:left="230" w:hanging="230"/>
      </w:pPr>
      <w:r>
        <w:rPr>
          <w:b w:val="0"/>
        </w:rPr>
        <w:t>2. 从单点直送候选开始，尝试同站追加和新站插入；当前快速候选每架次最多访问3个不同需求点，并对其它箱件的插入尝试有数量上限。</w:t>
      </w:r>
    </w:p>
    <w:p>
      <w:pPr>
        <w:ind w:left="230" w:hanging="230"/>
      </w:pPr>
      <w:r>
        <w:rPr>
          <w:b w:val="0"/>
        </w:rPr>
        <w:t>3. 每次插入重新计算剩余载荷、路线、升降、能源和时间，枚举真实机体与电池的可行组合。</w:t>
      </w:r>
    </w:p>
    <w:p>
      <w:pPr>
        <w:ind w:left="230" w:hanging="230"/>
      </w:pPr>
      <w:r>
        <w:rPr>
          <w:b w:val="0"/>
        </w:rPr>
        <w:t>4. 使用最早可用时间及准备/充电日历安排。检查硬截止、返航储备、释放时刻、固定区间和天气作业窗口。</w:t>
      </w:r>
    </w:p>
    <w:p>
      <w:pPr>
        <w:ind w:left="230" w:hanging="230"/>
      </w:pPr>
      <w:r>
        <w:rPr>
          <w:b w:val="0"/>
        </w:rPr>
        <w:t>5. 在候选机型与批次中按构造启发式评分选择，提交后移除已安排箱件，更新机体与电池日历。</w:t>
      </w:r>
    </w:p>
    <w:p>
      <w:pPr>
        <w:ind w:left="230" w:hanging="230"/>
      </w:pPr>
      <w:r>
        <w:rPr>
          <w:b w:val="0"/>
        </w:rPr>
        <w:t>6. 使用显式种子和不同构造偏好重复探索，当前最多48轮，有总墙钟预算和停滞停止条件；每个完整候选独立验证，最终按第8章共同目标排序。</w:t>
      </w:r>
    </w:p>
    <w:p>
      <w:r>
        <w:rPr>
          <w:b w:val="0"/>
        </w:rPr>
        <w:t>构造启发式会使用批次吞吐量、完成时间或能源及小幅随机扰动，不是逐步贪心评分本身就等于最终目标，也不是学习模型或完整ALNS。预算包含预处理和检查；会预留检查时间，但大输入、JIT与平台开销仍需实测，不能承诺每个输入固定秒数。</w:t>
      </w:r>
    </w:p>
    <w:p>
      <w:pPr>
        <w:pStyle w:val="Heading2"/>
      </w:pPr>
      <w:r>
        <w:t>9.2 有限路线池CP-SAT</w:t>
      </w:r>
    </w:p>
    <w:p>
      <w:r>
        <w:rPr>
          <w:rFonts w:ascii="Consolas" w:hAnsi="Consolas"/>
          <w:b w:val="0"/>
          <w:color w:val="234C54"/>
          <w:sz w:val="20"/>
        </w:rPr>
        <w:t>mode=improve</w:t>
      </w:r>
      <w:r>
        <w:rPr>
          <w:b w:val="0"/>
        </w:rPr>
        <w:t>可继承同一快照、同一目标和规则的已验证基线，再在剩余预算使用</w:t>
      </w:r>
      <w:r>
        <w:rPr>
          <w:rFonts w:ascii="Consolas" w:hAnsi="Consolas"/>
          <w:b w:val="0"/>
          <w:color w:val="234C54"/>
          <w:sz w:val="20"/>
        </w:rPr>
        <w:t>solver/cp_pool.py</w:t>
      </w:r>
      <w:r>
        <w:rPr>
          <w:b w:val="0"/>
        </w:rPr>
        <w:t>。候选池最多850条，来源包括基线批次、兼容机型替换、拆分、按站点组箱和单箱候选等，不覆盖所有访问序列。</w:t>
      </w:r>
    </w:p>
    <w:p>
      <w:r>
        <w:rPr>
          <w:b w:val="0"/>
        </w:rPr>
        <w:t>以候选架次选择、真实机体/电池分配和开始时刻为核心，约束需求数量精确覆盖、实物最多使用一次、资源可选区间不重叠、最早可用、截止、能源与地面容量。CP-SAT使用10ms保守时间网格，输出再以原始浮点物理重算。只接受独立检查通过且共同目标严格改善的候选；候选不佳或可选优化器错误时保留有效基线。</w:t>
      </w:r>
    </w:p>
    <w:p>
      <w:r>
        <w:rPr>
          <w:b w:val="0"/>
        </w:rPr>
        <w:t>用R表示候选池，二元变量xᵣ表示选用候选，aᵦᵣ表示其中是否装有实物箱b。每箱满足“所选候选中的出现次数≤1”，每条需求则按其箱件覆盖系数精确等于required_quantity；没有多余库存选择的实例等价于每个所需箱恰好一次。每个选中架次选择一组兼容机体/电池并具有开始时刻，分别在机体和电池上建立可选占用区间。交接完成偏移加开始时刻不晚于相应硬截止，返航SOC由物理预算约束。工位/端口使用Cumulative容量约束。上述是当前有限模型的变量与约束概括，不代表直接对无限连续航路建立了完整精确模型。</w:t>
      </w:r>
    </w:p>
    <w:p>
      <w:r>
        <w:rPr>
          <w:b w:val="0"/>
        </w:rPr>
        <w:t>运输深入模型不对非满初始SOC进行完整深层重排；适用性不满足时保留快速有效结果。通信开启后进入另一套有限联合分解，不把850条运输池说成完整通信联合优化。内部有限模型的OPTIMAL不代表全路线空间最优，对外发布仍明确为可行方案。</w:t>
      </w:r>
    </w:p>
    <w:p>
      <w:pPr>
        <w:pStyle w:val="Heading2"/>
      </w:pPr>
      <w:r>
        <w:t>9.3 独立检查与结果语义</w:t>
      </w:r>
    </w:p>
    <w:p>
      <w:r>
        <w:rPr>
          <w:rFonts w:ascii="Consolas" w:hAnsi="Consolas"/>
          <w:b w:val="0"/>
          <w:color w:val="234C54"/>
          <w:sz w:val="20"/>
        </w:rPr>
        <w:t>solver/validation.py</w:t>
      </w:r>
      <w:r>
        <w:rPr>
          <w:b w:val="0"/>
        </w:rPr>
        <w:t>从Snapshot重建箱件覆盖、载荷、访问顺序、路线、时间、能源、SOC、机体、电池、充电、地面容量、时限及所要求的通信/天气等。它复用权威物理函数以保持模型口径，但不信任优化器自己填的passed和汇总数字；不是使用一套独立实测物理模型。</w:t>
      </w:r>
    </w:p>
    <w:tbl>
      <w:tblPr>
        <w:tblStyle w:val="TableGrid"/>
        <w:tblW w:type="auto" w:w="0"/>
        <w:jc w:val="center"/>
        <w:tblLayout w:type="fixed"/>
        <w:tblLook w:firstColumn="1" w:firstRow="1" w:lastColumn="0" w:lastRow="0" w:noHBand="0" w:noVBand="1" w:val="04A0"/>
      </w:tblPr>
      <w:tblGrid>
        <w:gridCol w:w="4997"/>
        <w:gridCol w:w="4997"/>
      </w:tblGrid>
      <w:tr>
        <w:trPr>
          <w:tblHeader/>
          <w:cantSplit/>
        </w:trPr>
        <w:tc>
          <w:tcPr>
            <w:tcW w:type="dxa" w:w="4997"/>
            <w:vAlign w:val="center"/>
            <w:shd w:fill="EAF0F0"/>
          </w:tcPr>
          <w:p>
            <w:pPr>
              <w:keepNext/>
              <w:spacing w:before="60" w:after="60" w:line="259" w:lineRule="auto"/>
            </w:pPr>
            <w:r>
              <w:rPr>
                <w:b/>
                <w:sz w:val="20"/>
              </w:rPr>
              <w:t>结果</w:t>
            </w:r>
          </w:p>
        </w:tc>
        <w:tc>
          <w:tcPr>
            <w:tcW w:type="dxa" w:w="4997"/>
            <w:vAlign w:val="center"/>
            <w:shd w:fill="EAF0F0"/>
          </w:tcPr>
          <w:p>
            <w:pPr>
              <w:keepNext/>
              <w:spacing w:before="60" w:after="60" w:line="259" w:lineRule="auto"/>
            </w:pPr>
            <w:r>
              <w:rPr>
                <w:b/>
                <w:sz w:val="20"/>
              </w:rPr>
              <w:t>正确解释</w:t>
            </w:r>
          </w:p>
        </w:tc>
      </w:tr>
      <w:tr>
        <w:trPr>
          <w:cantSplit/>
        </w:trPr>
        <w:tc>
          <w:tcPr>
            <w:tcW w:type="dxa" w:w="4997"/>
            <w:vAlign w:val="center"/>
          </w:tcPr>
          <w:p>
            <w:pPr>
              <w:spacing w:before="60" w:after="60" w:line="259" w:lineRule="auto"/>
            </w:pPr>
            <w:r>
              <w:rPr>
                <w:b w:val="0"/>
                <w:sz w:val="20"/>
              </w:rPr>
              <w:t>FEASIBLE且validation passed</w:t>
            </w:r>
          </w:p>
        </w:tc>
        <w:tc>
          <w:tcPr>
            <w:tcW w:type="dxa" w:w="4997"/>
            <w:vAlign w:val="center"/>
          </w:tcPr>
          <w:p>
            <w:pPr>
              <w:spacing w:before="60" w:after="60" w:line="259" w:lineRule="auto"/>
            </w:pPr>
            <w:r>
              <w:rPr>
                <w:b w:val="0"/>
                <w:sz w:val="20"/>
              </w:rPr>
              <w:t>当前声明范围内找到可发布方案</w:t>
            </w:r>
          </w:p>
        </w:tc>
      </w:tr>
      <w:tr>
        <w:trPr>
          <w:cantSplit/>
        </w:trPr>
        <w:tc>
          <w:tcPr>
            <w:tcW w:type="dxa" w:w="4997"/>
            <w:vAlign w:val="center"/>
          </w:tcPr>
          <w:p>
            <w:pPr>
              <w:spacing w:before="60" w:after="60" w:line="259" w:lineRule="auto"/>
            </w:pPr>
            <w:r>
              <w:rPr>
                <w:b w:val="0"/>
                <w:sz w:val="20"/>
              </w:rPr>
              <w:t>UNKNOWN</w:t>
            </w:r>
          </w:p>
        </w:tc>
        <w:tc>
          <w:tcPr>
            <w:tcW w:type="dxa" w:w="4997"/>
            <w:vAlign w:val="center"/>
          </w:tcPr>
          <w:p>
            <w:pPr>
              <w:spacing w:before="60" w:after="60" w:line="259" w:lineRule="auto"/>
            </w:pPr>
            <w:r>
              <w:rPr>
                <w:b w:val="0"/>
                <w:sz w:val="20"/>
              </w:rPr>
              <w:t>当前预算、候选或输入条件下未得到已验证方案，不等于物理无解</w:t>
            </w:r>
          </w:p>
        </w:tc>
      </w:tr>
      <w:tr>
        <w:trPr>
          <w:cantSplit/>
        </w:trPr>
        <w:tc>
          <w:tcPr>
            <w:tcW w:type="dxa" w:w="4997"/>
            <w:vAlign w:val="center"/>
          </w:tcPr>
          <w:p>
            <w:pPr>
              <w:spacing w:before="60" w:after="60" w:line="259" w:lineRule="auto"/>
            </w:pPr>
            <w:r>
              <w:rPr>
                <w:b w:val="0"/>
                <w:sz w:val="20"/>
              </w:rPr>
              <w:t>INFEASIBLE</w:t>
            </w:r>
          </w:p>
        </w:tc>
        <w:tc>
          <w:tcPr>
            <w:tcW w:type="dxa" w:w="4997"/>
            <w:vAlign w:val="center"/>
          </w:tcPr>
          <w:p>
            <w:pPr>
              <w:spacing w:before="60" w:after="60" w:line="259" w:lineRule="auto"/>
            </w:pPr>
            <w:r>
              <w:rPr>
                <w:b w:val="0"/>
                <w:sz w:val="20"/>
              </w:rPr>
              <w:t>有明确模型依据的不可行，需保留证据范围</w:t>
            </w:r>
          </w:p>
        </w:tc>
      </w:tr>
      <w:tr>
        <w:trPr>
          <w:cantSplit/>
        </w:trPr>
        <w:tc>
          <w:tcPr>
            <w:tcW w:type="dxa" w:w="4997"/>
            <w:vAlign w:val="center"/>
          </w:tcPr>
          <w:p>
            <w:pPr>
              <w:spacing w:before="60" w:after="60" w:line="259" w:lineRule="auto"/>
            </w:pPr>
            <w:r>
              <w:rPr>
                <w:b w:val="0"/>
                <w:sz w:val="20"/>
              </w:rPr>
              <w:t>ERROR / validation_failed</w:t>
            </w:r>
          </w:p>
        </w:tc>
        <w:tc>
          <w:tcPr>
            <w:tcW w:type="dxa" w:w="4997"/>
            <w:vAlign w:val="center"/>
          </w:tcPr>
          <w:p>
            <w:pPr>
              <w:spacing w:before="60" w:after="60" w:line="259" w:lineRule="auto"/>
            </w:pPr>
            <w:r>
              <w:rPr>
                <w:b w:val="0"/>
                <w:sz w:val="20"/>
              </w:rPr>
              <w:t>计算或重建失败，候选不得发布</w:t>
            </w:r>
          </w:p>
        </w:tc>
      </w:tr>
      <w:tr>
        <w:trPr>
          <w:cantSplit/>
        </w:trPr>
        <w:tc>
          <w:tcPr>
            <w:tcW w:type="dxa" w:w="4997"/>
            <w:vAlign w:val="center"/>
          </w:tcPr>
          <w:p>
            <w:pPr>
              <w:spacing w:before="60" w:after="60" w:line="259" w:lineRule="auto"/>
            </w:pPr>
            <w:r>
              <w:rPr>
                <w:b w:val="0"/>
                <w:sz w:val="20"/>
              </w:rPr>
              <w:t>Job canceled</w:t>
            </w:r>
          </w:p>
        </w:tc>
        <w:tc>
          <w:tcPr>
            <w:tcW w:type="dxa" w:w="4997"/>
            <w:vAlign w:val="center"/>
          </w:tcPr>
          <w:p>
            <w:pPr>
              <w:spacing w:before="60" w:after="60" w:line="259" w:lineRule="auto"/>
            </w:pPr>
            <w:r>
              <w:rPr>
                <w:b w:val="0"/>
                <w:sz w:val="20"/>
              </w:rPr>
              <w:t>独立进程已停止；当前取消Job不发布可确认的中间计划，原有Plan保留</w:t>
            </w:r>
          </w:p>
        </w:tc>
      </w:tr>
    </w:tbl>
    <w:p>
      <w:pPr>
        <w:spacing w:after="20"/>
      </w:pPr>
    </w:p>
    <w:p>
      <w:r>
        <w:rPr>
          <w:rFonts w:ascii="Consolas" w:hAnsi="Consolas"/>
          <w:b w:val="0"/>
          <w:color w:val="234C54"/>
          <w:sz w:val="20"/>
        </w:rPr>
        <w:t>first_feasible_s</w:t>
      </w:r>
      <w:r>
        <w:rPr>
          <w:b w:val="0"/>
        </w:rPr>
        <w:t>是首个独立检查通过候选的耗时。进度只报告阶段、时间与候选数，不能用动画百分比冒充求解完成度。</w:t>
      </w:r>
    </w:p>
    <w:p>
      <w:pPr>
        <w:pStyle w:val="Heading1"/>
      </w:pPr>
      <w:r>
        <w:t>10 运输与通信联合调度</w:t>
      </w:r>
    </w:p>
    <w:p>
      <w:pPr>
        <w:pStyle w:val="Heading2"/>
      </w:pPr>
      <w:r>
        <w:t>10.1 通信问题</w:t>
      </w:r>
    </w:p>
    <w:p>
      <w:r>
        <w:rPr>
          <w:b w:val="0"/>
        </w:rPr>
        <w:t>通信指运输控制/遥测保障，而非给居民提供公共网络。运输机在需要的全过程中，应能直连固定网关，或经一个中继形成“运输机接入中继＋中继回传网关”同时有效的两跳链路。中继之间不继续转发。当前未建模最大接入人数、带宽竞争、频谱干扰、菲涅耳区和实测传播校准，不虚构并发容量。</w:t>
      </w:r>
    </w:p>
    <w:p>
      <w:r>
        <w:rPr>
          <w:b w:val="0"/>
        </w:rPr>
        <w:t>默认参数源自原题：2400MHz、系统损耗3dB、遮挡附加损耗10dB、灵敏度−98dBm、裕量8dB、网关离地20m。根据双向收发预算形成直连、接入与回传门限。默认值可在当前输入配置，不是所有设备的通用标准。</w:t>
      </w:r>
    </w:p>
    <w:p>
      <w:pPr>
        <w:pStyle w:val="Heading2"/>
      </w:pPr>
      <w:r>
        <w:t>10.2 连续时间检查</w:t>
      </w:r>
    </w:p>
    <w:p>
      <w:r>
        <w:rPr>
          <w:rFonts w:ascii="Consolas" w:hAnsi="Consolas"/>
          <w:b w:val="0"/>
          <w:color w:val="234C54"/>
          <w:sz w:val="20"/>
        </w:rPr>
        <w:t>projected_dem_radio_v1</w:t>
      </w:r>
      <w:r>
        <w:rPr>
          <w:b w:val="0"/>
        </w:rPr>
        <w:t>使用基地所在UTM带和冻结DEM闭四边形像元，限制地理范围、像元尺度与投影畸变。WGS84运动按最长250m分段转为投影直线弦，保留爬升、巡航、下降和交接。</w:t>
      </w:r>
    </w:p>
    <w:p>
      <w:r>
        <w:rPr>
          <w:b w:val="0"/>
        </w:rPr>
        <w:t>可用区间通过距离阈值交点、扫掠视线三角形与地形像元/高度半空间裁剪求出，同时检查阶段边界、孤立接触和微小数值外扩。直连失效时，所选中继在同一时刻须已建链、仍服务、接入与回传均有效。它是在声明的有限几何传播模型中进行连续时间检查，不是对真实无线电环境的无限精度认证。</w:t>
      </w:r>
    </w:p>
    <w:p>
      <w:pPr>
        <w:pStyle w:val="Heading2"/>
      </w:pPr>
      <w:r>
        <w:t>10.3 联合排程和能源</w:t>
      </w:r>
    </w:p>
    <w:p>
      <w:r>
        <w:rPr>
          <w:b w:val="0"/>
        </w:rPr>
        <w:t>中继架次包含准备、飞行、建链、驻留、返航、机体周转、能源组件充电。默认2架中继、6套3.2kWh能源组件；服务能耗包含建链和服务期间的悬停/通信，不因某段没有运输机连接就自动忽略空档，也不按连接机数量重复相乘。机体和组件独立预约；有限地面容量开启时与运输共同竞争工位/端口。</w:t>
      </w:r>
    </w:p>
    <w:p>
      <w:r>
        <w:rPr>
          <w:b w:val="0"/>
        </w:rPr>
        <w:t>求解先产生私有运输松弛的组批、访问顺序与机型，再在有限运输模式及最多48个悬停候选上联合选择开始时刻、机体、电池、中继和服务窗口。几何覆盖需求按候选集合分解为连续原子，随后CP-SAT排程。私有松弛不发布为联合可行方案，最后仍完整独立重建物理和链路。</w:t>
      </w:r>
    </w:p>
    <w:p>
      <w:r>
        <w:rPr>
          <w:b w:val="0"/>
        </w:rPr>
        <w:t>原题匹配时可以尝试归档23组箱件/访问顺序与3个驻点候选。该模式文件不包含历史起飞时刻、能源、SOC或验算标志；所有数据均从当前输入重算。它提高特定基准的候选可用性，不表示一般输入都能用同一模板解决。当前联合排程限基地可用、初始满SOC资源，不能偷偷将低SOC重置为满电。</w:t>
      </w:r>
    </w:p>
    <w:p>
      <w:pPr>
        <w:pStyle w:val="Heading2"/>
      </w:pPr>
      <w:r>
        <w:t>10.4 展示口径</w:t>
      </w:r>
    </w:p>
    <w:p>
      <w:r>
        <w:rPr>
          <w:rFonts w:ascii="Consolas" w:hAnsi="Consolas"/>
          <w:b w:val="0"/>
          <w:color w:val="234C54"/>
          <w:sz w:val="20"/>
        </w:rPr>
        <w:t>metrics</w:t>
      </w:r>
      <w:r>
        <w:rPr>
          <w:b w:val="0"/>
        </w:rPr>
        <w:t>保留运输口径，</w:t>
      </w:r>
      <w:r>
        <w:rPr>
          <w:rFonts w:ascii="Consolas" w:hAnsi="Consolas"/>
          <w:b w:val="0"/>
          <w:color w:val="234C54"/>
          <w:sz w:val="20"/>
        </w:rPr>
        <w:t>joint_metrics</w:t>
      </w:r>
      <w:r>
        <w:rPr>
          <w:b w:val="0"/>
        </w:rPr>
        <w:t>给出中继能源、联合能源、联合最后返航和中继架次数。地图、表格、甘特和Excel读取真实驻点与服务期。空间覆盖页另外在用户选择的AGL和中继站位上计算9至31边长网格，区分直连、中继、不通和未知；这是离散空间采样，不代替实际航迹全过程的连续窗口检查。</w:t>
      </w:r>
    </w:p>
    <w:p>
      <w:pPr>
        <w:pStyle w:val="Heading1"/>
      </w:pPr>
      <w:r>
        <w:t>11 动态事件与保留执行承诺的修复</w:t>
      </w:r>
    </w:p>
    <w:p>
      <w:pPr>
        <w:pStyle w:val="Heading2"/>
      </w:pPr>
      <w:r>
        <w:t>11.1 两条不同的入口</w:t>
      </w:r>
    </w:p>
    <w:tbl>
      <w:tblPr>
        <w:tblStyle w:val="TableGrid"/>
        <w:tblW w:type="auto" w:w="0"/>
        <w:jc w:val="center"/>
        <w:tblLayout w:type="fixed"/>
        <w:tblLook w:firstColumn="1" w:firstRow="1" w:lastColumn="0" w:lastRow="0" w:noHBand="0" w:noVBand="1" w:val="04A0"/>
      </w:tblPr>
      <w:tblGrid>
        <w:gridCol w:w="1656"/>
        <w:gridCol w:w="2736"/>
        <w:gridCol w:w="2808"/>
        <w:gridCol w:w="2794"/>
      </w:tblGrid>
      <w:tr>
        <w:trPr>
          <w:tblHeader/>
          <w:cantSplit/>
        </w:trPr>
        <w:tc>
          <w:tcPr>
            <w:tcW w:type="dxa" w:w="1656"/>
            <w:vAlign w:val="center"/>
            <w:shd w:fill="EAF0F0"/>
          </w:tcPr>
          <w:p>
            <w:pPr>
              <w:keepNext/>
              <w:spacing w:before="60" w:after="60" w:line="259" w:lineRule="auto"/>
            </w:pPr>
            <w:r>
              <w:rPr>
                <w:b/>
                <w:sz w:val="20"/>
              </w:rPr>
              <w:t>入口</w:t>
            </w:r>
          </w:p>
        </w:tc>
        <w:tc>
          <w:tcPr>
            <w:tcW w:type="dxa" w:w="2736"/>
            <w:vAlign w:val="center"/>
            <w:shd w:fill="EAF0F0"/>
          </w:tcPr>
          <w:p>
            <w:pPr>
              <w:keepNext/>
              <w:spacing w:before="60" w:after="60" w:line="259" w:lineRule="auto"/>
            </w:pPr>
            <w:r>
              <w:rPr>
                <w:b/>
                <w:sz w:val="20"/>
              </w:rPr>
              <w:t>使用前提</w:t>
            </w:r>
          </w:p>
        </w:tc>
        <w:tc>
          <w:tcPr>
            <w:tcW w:type="dxa" w:w="2808"/>
            <w:vAlign w:val="center"/>
            <w:shd w:fill="EAF0F0"/>
          </w:tcPr>
          <w:p>
            <w:pPr>
              <w:keepNext/>
              <w:spacing w:before="60" w:after="60" w:line="259" w:lineRule="auto"/>
            </w:pPr>
            <w:r>
              <w:rPr>
                <w:b/>
                <w:sz w:val="20"/>
              </w:rPr>
              <w:t>事件和计算</w:t>
            </w:r>
          </w:p>
        </w:tc>
        <w:tc>
          <w:tcPr>
            <w:tcW w:type="dxa" w:w="2794"/>
            <w:vAlign w:val="center"/>
            <w:shd w:fill="EAF0F0"/>
          </w:tcPr>
          <w:p>
            <w:pPr>
              <w:keepNext/>
              <w:spacing w:before="60" w:after="60" w:line="259" w:lineRule="auto"/>
            </w:pPr>
            <w:r>
              <w:rPr>
                <w:b/>
                <w:sz w:val="20"/>
              </w:rPr>
              <w:t>当前边界</w:t>
            </w:r>
          </w:p>
        </w:tc>
      </w:tr>
      <w:tr>
        <w:trPr>
          <w:cantSplit/>
        </w:trPr>
        <w:tc>
          <w:tcPr>
            <w:tcW w:type="dxa" w:w="1656"/>
            <w:vAlign w:val="center"/>
          </w:tcPr>
          <w:p>
            <w:pPr>
              <w:spacing w:before="60" w:after="60" w:line="259" w:lineRule="auto"/>
            </w:pPr>
            <w:r>
              <w:rPr>
                <w:b w:val="0"/>
                <w:sz w:val="20"/>
              </w:rPr>
              <w:t>零时刻Event＋replan</w:t>
            </w:r>
          </w:p>
        </w:tc>
        <w:tc>
          <w:tcPr>
            <w:tcW w:type="dxa" w:w="2736"/>
            <w:vAlign w:val="center"/>
          </w:tcPr>
          <w:p>
            <w:pPr>
              <w:spacing w:before="60" w:after="60" w:line="259" w:lineRule="auto"/>
            </w:pPr>
            <w:r>
              <w:rPr>
                <w:b w:val="0"/>
                <w:sz w:val="20"/>
              </w:rPr>
              <w:t>整个场景尚未执行</w:t>
            </w:r>
          </w:p>
        </w:tc>
        <w:tc>
          <w:tcPr>
            <w:tcW w:type="dxa" w:w="2808"/>
            <w:vAlign w:val="center"/>
          </w:tcPr>
          <w:p>
            <w:pPr>
              <w:spacing w:before="60" w:after="60" w:line="259" w:lineRule="auto"/>
            </w:pPr>
            <w:r>
              <w:rPr>
                <w:b w:val="0"/>
                <w:sz w:val="20"/>
              </w:rPr>
              <w:t>机体退出、运输电池退出、中继能源退出、已有点位需求与实物插单</w:t>
            </w:r>
          </w:p>
        </w:tc>
        <w:tc>
          <w:tcPr>
            <w:tcW w:type="dxa" w:w="2794"/>
            <w:vAlign w:val="center"/>
          </w:tcPr>
          <w:p>
            <w:pPr>
              <w:spacing w:before="60" w:after="60" w:line="259" w:lineRule="auto"/>
            </w:pPr>
            <w:r>
              <w:rPr>
                <w:b w:val="0"/>
                <w:sz w:val="20"/>
              </w:rPr>
              <w:t>应用后版本核对；运输局部/全量，通信全量联合重算</w:t>
            </w:r>
          </w:p>
        </w:tc>
      </w:tr>
      <w:tr>
        <w:trPr>
          <w:cantSplit/>
        </w:trPr>
        <w:tc>
          <w:tcPr>
            <w:tcW w:type="dxa" w:w="1656"/>
            <w:vAlign w:val="center"/>
          </w:tcPr>
          <w:p>
            <w:pPr>
              <w:spacing w:before="60" w:after="60" w:line="259" w:lineRule="auto"/>
            </w:pPr>
            <w:r>
              <w:rPr>
                <w:b w:val="0"/>
                <w:sz w:val="20"/>
              </w:rPr>
              <w:t>ExecutionEvent＋repair_remaining</w:t>
            </w:r>
          </w:p>
        </w:tc>
        <w:tc>
          <w:tcPr>
            <w:tcW w:type="dxa" w:w="2736"/>
            <w:vAlign w:val="center"/>
          </w:tcPr>
          <w:p>
            <w:pPr>
              <w:spacing w:before="60" w:after="60" w:line="259" w:lineRule="auto"/>
            </w:pPr>
            <w:r>
              <w:rPr>
                <w:b w:val="0"/>
                <w:sz w:val="20"/>
              </w:rPr>
              <w:t>已有独立业务模拟实例</w:t>
            </w:r>
          </w:p>
        </w:tc>
        <w:tc>
          <w:tcPr>
            <w:tcW w:type="dxa" w:w="2808"/>
            <w:vAlign w:val="center"/>
          </w:tcPr>
          <w:p>
            <w:pPr>
              <w:spacing w:before="60" w:after="60" w:line="259" w:lineRule="auto"/>
            </w:pPr>
            <w:r>
              <w:rPr>
                <w:b w:val="0"/>
                <w:sz w:val="20"/>
              </w:rPr>
              <w:t>机体/电池未来不可用、需求与实物插入、落点不可用、人工天气变化</w:t>
            </w:r>
          </w:p>
        </w:tc>
        <w:tc>
          <w:tcPr>
            <w:tcW w:type="dxa" w:w="2794"/>
            <w:vAlign w:val="center"/>
          </w:tcPr>
          <w:p>
            <w:pPr>
              <w:spacing w:before="60" w:after="60" w:line="259" w:lineRule="auto"/>
            </w:pPr>
            <w:r>
              <w:rPr>
                <w:b w:val="0"/>
                <w:sz w:val="20"/>
              </w:rPr>
              <w:t>先冻结事实；运输模式中的受支持变化可修复，影响已承诺安全时需人工；联合通信在途修复未具备</w:t>
            </w:r>
          </w:p>
        </w:tc>
      </w:tr>
    </w:tbl>
    <w:p>
      <w:pPr>
        <w:spacing w:after="20"/>
      </w:pPr>
    </w:p>
    <w:p>
      <w:r>
        <w:rPr>
          <w:b w:val="0"/>
        </w:rPr>
        <w:t>不能把已在飞的状态塞进普通</w:t>
      </w:r>
      <w:r>
        <w:rPr>
          <w:rFonts w:ascii="Consolas" w:hAnsi="Consolas"/>
          <w:b w:val="0"/>
          <w:color w:val="234C54"/>
          <w:sz w:val="20"/>
        </w:rPr>
        <w:t>solve()</w:t>
      </w:r>
      <w:r>
        <w:rPr>
          <w:b w:val="0"/>
        </w:rPr>
        <w:t>后从头规划。能力报告中的</w:t>
      </w:r>
      <w:r>
        <w:rPr>
          <w:rFonts w:ascii="Consolas" w:hAnsi="Consolas"/>
          <w:b w:val="0"/>
          <w:color w:val="234C54"/>
          <w:sz w:val="20"/>
        </w:rPr>
        <w:t>execution_state=false</w:t>
      </w:r>
      <w:r>
        <w:rPr>
          <w:b w:val="0"/>
        </w:rPr>
        <w:t>描述普通静态入口不接任意执行事实，不表示系统没有独立Execution服务和受控残余修复。</w:t>
      </w:r>
    </w:p>
    <w:p>
      <w:pPr>
        <w:pStyle w:val="Heading2"/>
      </w:pPr>
      <w:r>
        <w:t>11.2 资源依赖与局部范围</w:t>
      </w:r>
    </w:p>
    <w:p>
      <w:r>
        <w:rPr>
          <w:b w:val="0"/>
        </w:rPr>
        <w:t>图节点用</w:t>
      </w:r>
      <w:r>
        <w:rPr>
          <w:rFonts w:ascii="Consolas" w:hAnsi="Consolas"/>
          <w:b w:val="0"/>
          <w:color w:val="234C54"/>
          <w:sz w:val="20"/>
        </w:rPr>
        <w:t>(plan_id,sortie_id)</w:t>
      </w:r>
      <w:r>
        <w:rPr>
          <w:b w:val="0"/>
        </w:rPr>
        <w:t>精确标识，边表示同一机体或运输电池的时序后继。先求事件直接命中，再沿后继求闭包，区分直接影响、传播影响和已承诺节点。当前图没有把所有通信窗口、空间冲突或地面工位都建成完整依赖边；有限地面资源采用保守共同释放边界。</w:t>
      </w:r>
    </w:p>
    <w:p>
      <w:r>
        <w:rPr>
          <w:b w:val="0"/>
        </w:rPr>
        <w:t>初始满SOC等条件满足时，先尝试保留未受影响未来架次的资源与时刻，再扩大受影响范围；失败或不适用时在剩余预算全量回退。新增需求直接完整处理新增任务，不能只修旧批次。结果明确报告实际</w:t>
      </w:r>
      <w:r>
        <w:rPr>
          <w:rFonts w:ascii="Consolas" w:hAnsi="Consolas"/>
          <w:b w:val="0"/>
          <w:color w:val="234C54"/>
          <w:sz w:val="20"/>
        </w:rPr>
        <w:t>dependency_local</w:t>
      </w:r>
      <w:r>
        <w:rPr>
          <w:b w:val="0"/>
        </w:rPr>
        <w:t>或</w:t>
      </w:r>
      <w:r>
        <w:rPr>
          <w:rFonts w:ascii="Consolas" w:hAnsi="Consolas"/>
          <w:b w:val="0"/>
          <w:color w:val="234C54"/>
          <w:sz w:val="20"/>
        </w:rPr>
        <w:t>full_recompute</w:t>
      </w:r>
      <w:r>
        <w:rPr>
          <w:b w:val="0"/>
        </w:rPr>
        <w:t>，不声称局部一定更快、改动全局最少或所有目标都改善。</w:t>
      </w:r>
    </w:p>
    <w:p>
      <w:pPr>
        <w:pStyle w:val="Heading2"/>
      </w:pPr>
      <w:r>
        <w:t>11.3 在途承诺与残余输入</w:t>
      </w:r>
    </w:p>
    <w:p>
      <w:r>
        <w:rPr>
          <w:b w:val="0"/>
        </w:rPr>
        <w:t>当前</w:t>
      </w:r>
      <w:r>
        <w:rPr>
          <w:rFonts w:ascii="Consolas" w:hAnsi="Consolas"/>
          <w:b w:val="0"/>
          <w:color w:val="234C54"/>
          <w:sz w:val="20"/>
        </w:rPr>
        <w:t>execution_commitment_v1</w:t>
      </w:r>
      <w:r>
        <w:rPr>
          <w:b w:val="0"/>
        </w:rPr>
        <w:t>采用保守但可核对的边界：以持久</w:t>
      </w:r>
      <w:r>
        <w:rPr>
          <w:rFonts w:ascii="Consolas" w:hAnsi="Consolas"/>
          <w:b w:val="0"/>
          <w:color w:val="234C54"/>
          <w:sz w:val="20"/>
        </w:rPr>
        <w:t>loaded</w:t>
      </w:r>
      <w:r>
        <w:rPr>
          <w:b w:val="0"/>
        </w:rPr>
        <w:t>或</w:t>
      </w:r>
      <w:r>
        <w:rPr>
          <w:rFonts w:ascii="Consolas" w:hAnsi="Consolas"/>
          <w:b w:val="0"/>
          <w:color w:val="234C54"/>
          <w:sz w:val="20"/>
        </w:rPr>
        <w:t>relay_started</w:t>
      </w:r>
      <w:r>
        <w:rPr>
          <w:b w:val="0"/>
        </w:rPr>
        <w:t>事实确认已开始，而非仅按计划时刻猜测。已经开始准备/装载/飞行/交接的完整架次及其补能尾部作为不可撤销承诺保留。已交付箱件永久保留，在飞机体的机上货物、电池、路线、位置和阶段时序不重置。</w:t>
      </w:r>
    </w:p>
    <w:p>
      <w:r>
        <w:rPr>
          <w:b w:val="0"/>
        </w:rPr>
        <w:t>服务端从原Plan/Snapshot原文、事实游标、事件序列和当前排程来源冻结Reference。剩余快照扣除已交付与已承诺箱件，重算剩余需求；机体与电池最早可用时间继承承诺尾部，电池预测满充释放与当前观测SOC分开。有限地面条件下保守等待承诺补能尾部，避免旧新重复占用。</w:t>
      </w:r>
    </w:p>
    <w:p>
      <w:r>
        <w:rPr>
          <w:b w:val="0"/>
        </w:rPr>
        <w:t>新Plan只覆盖残余任务。组合视图保留原承诺来源与新未来来源，额外检查箱件唯一、资源互斥、冻结原文hash、执行revision和事实游标。候选生成不自动采纳；计算后若事实或事件变化，旧候选失效，不能覆盖新状态。</w:t>
      </w:r>
    </w:p>
    <w:p>
      <w:pPr>
        <w:pStyle w:val="Heading2"/>
      </w:pPr>
      <w:r>
        <w:t>11.4 采纳流程</w:t>
      </w:r>
    </w:p>
    <w:p>
      <w:r>
        <w:rPr>
          <w:b w:val="0"/>
        </w:rPr>
        <w:t>暂停→记录事件→冻结影响和Reference→真实求解残余任务→独立检查→新旧逐箱差异→操作员采纳→模拟设备上传/回执/读回→未来排程生效。失败或未确定不能显示全部应用成功，旧承诺仍受保护。真实飞机在途中临时转向、卸载换机、失效迫降和联合中继窗口重排未在此模型内完成。</w:t>
      </w:r>
    </w:p>
    <w:p>
      <w:r>
        <w:rPr>
          <w:b w:val="0"/>
        </w:rPr>
        <w:t>误报更正采用追加resolution，不删除原事件；已采纳或正在应用的变更有约束。当前尚有未处理事件时，继续演练和手动推进也不能绕过。</w:t>
      </w:r>
    </w:p>
    <w:p>
      <w:pPr>
        <w:pStyle w:val="Heading1"/>
      </w:pPr>
      <w:r>
        <w:t>12 资源诊断 反事实试算和演练评测</w:t>
      </w:r>
    </w:p>
    <w:p>
      <w:pPr>
        <w:pStyle w:val="Heading2"/>
      </w:pPr>
      <w:r>
        <w:t>12.1 单点诊断和必要下界</w:t>
      </w:r>
    </w:p>
    <w:p>
      <w:r>
        <w:rPr>
          <w:b w:val="0"/>
        </w:rPr>
        <w:t>单点诊断以额定满SOC与100%SOH、单站往返模型计算安全载重。空载往返不满足能源时明确不可行；中间质量用单调二分取可行下界。相同站点、物资、质量和体积的箱件压缩为计数类，完整枚举有限计数向量与机型，再动态规划依次最小化架次、总能源和累计作业时长。每站最多512个状态，超限或超预算明确limited/partial。</w:t>
      </w:r>
    </w:p>
    <w:p>
      <w:r>
        <w:rPr>
          <w:b w:val="0"/>
        </w:rPr>
        <w:t>该报告不是可确认Plan，不分配真实机体/电池，不承担并发、充电、需求时限和通信排程。原题当前单点模型得到18批、约59.131296kWh；累计作业时长不能当作并行机队最后返航。另有基于质量/体积等容量的运输架次必要下界，包含精确比值与见证，但不是最少机体、电池数或完整调度最优性证明。</w:t>
      </w:r>
    </w:p>
    <w:p>
      <w:pPr>
        <w:pStyle w:val="Heading2"/>
      </w:pPr>
      <w:r>
        <w:t>12.2 占用与反事实</w:t>
      </w:r>
    </w:p>
    <w:p>
      <w:r>
        <w:rPr>
          <w:b w:val="0"/>
        </w:rPr>
        <w:t>资源分析读取原Snapshot，给出交付、期望延期、硬截止余量、机体/电池/中继能源区间、充电与并发峰值。占用率须使用报告声明的时间分母，缺省无限端口下的峰值是并发需求，不等于现实必须购买数量。</w:t>
      </w:r>
    </w:p>
    <w:p>
      <w:r>
        <w:rPr>
          <w:b w:val="0"/>
        </w:rPr>
        <w:t>反事实创建独立Scenario和来源记录，支持增机、增电池、能源/飞行时间倍率、SOH、返航储备，以及已配置有限保障的工位/端口增配，然后真实创建快照求解。保留原需求和硬截止；同输入偏好比较与不同输入试算分开。三档压力只是确定性参数扰动，不是统计概率或概率鲁棒保证。</w:t>
      </w:r>
    </w:p>
    <w:p>
      <w:pPr>
        <w:pStyle w:val="Heading2"/>
      </w:pPr>
      <w:r>
        <w:t>12.3 冻结分区</w:t>
      </w:r>
    </w:p>
    <w:p>
      <w:r>
        <w:rPr>
          <w:b w:val="0"/>
        </w:rPr>
        <w:t>Q4分析冻结同版联合Plan的运输任务、时刻、中继服务和实际通信来源，通过并查集合并必须同组的连通单元，再枚举2/3个非空组。最多10个连通单元，并限同质、满SOC、零时刻资源。各组资源峰值经区间着色构造实体分配并独立核对。</w:t>
      </w:r>
    </w:p>
    <w:p>
      <w:r>
        <w:rPr>
          <w:b w:val="0"/>
        </w:rPr>
        <w:t>“共享损失”是各组专属峰值总和减全局共享峰值；“缺口”是专属总配置超出现有库存的部分。最少数量只针对冻结区间与同质资源条件，不能宣称重新组批和排程后的全局最少配置。新增实体建议不会自动变成已有实物。</w:t>
      </w:r>
    </w:p>
    <w:p>
      <w:pPr>
        <w:pStyle w:val="Heading2"/>
      </w:pPr>
      <w:r>
        <w:t>12.4 评测</w:t>
      </w:r>
    </w:p>
    <w:p>
      <w:r>
        <w:rPr>
          <w:b w:val="0"/>
        </w:rPr>
        <w:t>演练评测为策略对照、quick/improve搜索对照和同一执行残余Reference的修复方法对照。后台协调器串行派发真实Worker，记录快照、种子、预算、版本、源码身份和原始工件。失败、UNKNOWN、取消和超时保留，汇总注明分母，不删除失败样本美化均值。</w:t>
      </w:r>
    </w:p>
    <w:p>
      <w:r>
        <w:rPr>
          <w:b w:val="0"/>
        </w:rPr>
        <w:t>修复对照使用相同剩余物理输入、释放下界、承诺、目标与预算，比较dependency与full，并报告实际回退路径。策略对照不能直接作为算法创新贡献，少数案例也不能给出通用提升百分比。当前没有完成学习模型、完整鲁棒情景、跨地图统计和所有消融。</w:t>
      </w:r>
    </w:p>
    <w:p>
      <w:pPr>
        <w:pStyle w:val="Heading1"/>
      </w:pPr>
      <w:r>
        <w:t>13 业务仿真 设备接口和状态流</w:t>
      </w:r>
    </w:p>
    <w:p>
      <w:pPr>
        <w:pStyle w:val="Heading2"/>
      </w:pPr>
      <w:r>
        <w:t>13.1 服务器仿真</w:t>
      </w:r>
    </w:p>
    <w:p>
      <w:r>
        <w:rPr>
          <w:b w:val="0"/>
        </w:rPr>
        <w:t>Execution状态为</w:t>
      </w:r>
      <w:r>
        <w:rPr>
          <w:rFonts w:ascii="Consolas" w:hAnsi="Consolas"/>
          <w:b w:val="0"/>
          <w:color w:val="234C54"/>
          <w:sz w:val="20"/>
        </w:rPr>
        <w:t>ready/running/paused/completed</w:t>
      </w:r>
      <w:r>
        <w:rPr>
          <w:b w:val="0"/>
        </w:rPr>
        <w:t>。服务器基于wall-clock anchor与倍速推进模拟时刻，持久写入装载、交付、中继阶段和资源释放等事实，浏览器关闭不靠前端动画继续记账。暂停或待开始查询不凭计划时间生成新loaded事实；刷新和重启读取持久记录。重置通过新建实例，不删除旧事实。</w:t>
      </w:r>
    </w:p>
    <w:p>
      <w:r>
        <w:rPr>
          <w:b w:val="0"/>
        </w:rPr>
        <w:t>模拟遥测按已验证实际阶段生成位置；V3增加模型水平速度、垂直速度、阶段结束、载荷和</w:t>
      </w:r>
      <w:r>
        <w:rPr>
          <w:rFonts w:ascii="Consolas" w:hAnsi="Consolas"/>
          <w:b w:val="0"/>
          <w:color w:val="234C54"/>
          <w:sz w:val="20"/>
        </w:rPr>
        <w:t>estimated_soc</w:t>
      </w:r>
      <w:r>
        <w:rPr>
          <w:b w:val="0"/>
        </w:rPr>
        <w:t>。旧</w:t>
      </w:r>
      <w:r>
        <w:rPr>
          <w:rFonts w:ascii="Consolas" w:hAnsi="Consolas"/>
          <w:b w:val="0"/>
          <w:color w:val="234C54"/>
          <w:sz w:val="20"/>
        </w:rPr>
        <w:t>soc</w:t>
      </w:r>
      <w:r>
        <w:rPr>
          <w:b w:val="0"/>
        </w:rPr>
        <w:t>保持计算端点语义，估计字段按声明阶段功率解释，不当作传感器读数。断流保留最后观测并标陈旧，前端不继续外推假实况。</w:t>
      </w:r>
    </w:p>
    <w:p>
      <w:r>
        <w:rPr>
          <w:b w:val="0"/>
        </w:rPr>
        <w:t>机队看板区分载货运输、交接、空载返航、准备、待命和未来不可用；显示当前目的地、箱件、下一架次、电池与来源。总运输量综合初始、已交付、已承诺和新未来计划，不能仅用扣除在途后的剩余快照统计。例如演练中原32箱加1箱后总数是33，而不是只显示残余待调度量。</w:t>
      </w:r>
    </w:p>
    <w:p>
      <w:pPr>
        <w:pStyle w:val="Heading2"/>
      </w:pPr>
      <w:r>
        <w:t>13.2 DeviceAdapter</w:t>
      </w:r>
    </w:p>
    <w:p>
      <w:r>
        <w:rPr>
          <w:b w:val="0"/>
        </w:rPr>
        <w:t>抽象接口包括能力查询</w:t>
      </w:r>
      <w:r>
        <w:rPr>
          <w:rFonts w:ascii="Consolas" w:hAnsi="Consolas"/>
          <w:b w:val="0"/>
          <w:color w:val="234C54"/>
          <w:sz w:val="20"/>
        </w:rPr>
        <w:t>capabilities</w:t>
      </w:r>
      <w:r>
        <w:rPr>
          <w:b w:val="0"/>
        </w:rPr>
        <w:t>、遥测流</w:t>
      </w:r>
      <w:r>
        <w:rPr>
          <w:rFonts w:ascii="Consolas" w:hAnsi="Consolas"/>
          <w:b w:val="0"/>
          <w:color w:val="234C54"/>
          <w:sz w:val="20"/>
        </w:rPr>
        <w:t>telemetry_stream</w:t>
      </w:r>
      <w:r>
        <w:rPr>
          <w:b w:val="0"/>
        </w:rPr>
        <w:t>、任务编译</w:t>
      </w:r>
      <w:r>
        <w:rPr>
          <w:rFonts w:ascii="Consolas" w:hAnsi="Consolas"/>
          <w:b w:val="0"/>
          <w:color w:val="234C54"/>
          <w:sz w:val="20"/>
        </w:rPr>
        <w:t>compile_mission</w:t>
      </w:r>
      <w:r>
        <w:rPr>
          <w:b w:val="0"/>
        </w:rPr>
        <w:t>、编译检查</w:t>
      </w:r>
      <w:r>
        <w:rPr>
          <w:rFonts w:ascii="Consolas" w:hAnsi="Consolas"/>
          <w:b w:val="0"/>
          <w:color w:val="234C54"/>
          <w:sz w:val="20"/>
        </w:rPr>
        <w:t>validate_compiled_mission</w:t>
      </w:r>
      <w:r>
        <w:rPr>
          <w:b w:val="0"/>
        </w:rPr>
        <w:t>、上传</w:t>
      </w:r>
      <w:r>
        <w:rPr>
          <w:rFonts w:ascii="Consolas" w:hAnsi="Consolas"/>
          <w:b w:val="0"/>
          <w:color w:val="234C54"/>
          <w:sz w:val="20"/>
        </w:rPr>
        <w:t>upload_mission</w:t>
      </w:r>
      <w:r>
        <w:rPr>
          <w:b w:val="0"/>
        </w:rPr>
        <w:t>、独立读回</w:t>
      </w:r>
      <w:r>
        <w:rPr>
          <w:rFonts w:ascii="Consolas" w:hAnsi="Consolas"/>
          <w:b w:val="0"/>
          <w:color w:val="234C54"/>
          <w:sz w:val="20"/>
        </w:rPr>
        <w:t>read_mission_state</w:t>
      </w:r>
      <w:r>
        <w:rPr>
          <w:b w:val="0"/>
        </w:rPr>
        <w:t>和指令</w:t>
      </w:r>
      <w:r>
        <w:rPr>
          <w:rFonts w:ascii="Consolas" w:hAnsi="Consolas"/>
          <w:b w:val="0"/>
          <w:color w:val="234C54"/>
          <w:sz w:val="20"/>
        </w:rPr>
        <w:t>execute_command</w:t>
      </w:r>
      <w:r>
        <w:rPr>
          <w:b w:val="0"/>
        </w:rPr>
        <w:t>。当前唯一安装的是</w:t>
      </w:r>
      <w:r>
        <w:rPr>
          <w:rFonts w:ascii="Consolas" w:hAnsi="Consolas"/>
          <w:b w:val="0"/>
          <w:color w:val="234C54"/>
          <w:sz w:val="20"/>
        </w:rPr>
        <w:t>SimulationAdapter</w:t>
      </w:r>
      <w:r>
        <w:rPr>
          <w:b w:val="0"/>
        </w:rPr>
        <w:t>，支持未来模拟排程上传、启用和状态查询，不支持在飞完整架次替换，也不连接真机。</w:t>
      </w:r>
    </w:p>
    <w:p>
      <w:r>
        <w:rPr>
          <w:b w:val="0"/>
        </w:rPr>
        <w:t>HTTP受理、设备ACK和动作完成是三个不同状态。服务器持久存模拟设备独立状态，完成需读回核对Plan及编译内容hash。指令具有执行归属、设备能力、幂等键、版本、有效期和状态机；拒绝、ACK超时、完成回执丢失均保留不同结果。动作可能已发生但完成未确定时，不自动重复有副作用动作，而另行查询状态。</w:t>
      </w:r>
    </w:p>
    <w:p>
      <w:pPr>
        <w:pStyle w:val="Heading2"/>
      </w:pPr>
      <w:r>
        <w:t>13.3 SSE与档案</w:t>
      </w:r>
    </w:p>
    <w:p>
      <w:r>
        <w:rPr>
          <w:b w:val="0"/>
        </w:rPr>
        <w:t>执行流支持事实cursor和</w:t>
      </w:r>
      <w:r>
        <w:rPr>
          <w:rFonts w:ascii="Consolas" w:hAnsi="Consolas"/>
          <w:b w:val="0"/>
          <w:color w:val="234C54"/>
          <w:sz w:val="20"/>
        </w:rPr>
        <w:t>Last-Event-ID</w:t>
      </w:r>
      <w:r>
        <w:rPr>
          <w:b w:val="0"/>
        </w:rPr>
        <w:t>续传，事实游标与遥测会话序号分开。超前游标返回冲突并要求重读快照。只读档案包含Execution投影、所需Plan/Snapshot原文、事件、变更与指令，校验引用和hash；导入不会创建可控制执行实例，也不会增加交付。</w:t>
      </w:r>
    </w:p>
    <w:p>
      <w:r>
        <w:rPr>
          <w:b w:val="0"/>
        </w:rPr>
        <w:t>没有本地DEM时，档案仍能查看保存的几何和事实，但不能标为已重新物理认证。没有连续历史遥测的档案不能补造历史实况轨迹。</w:t>
      </w:r>
    </w:p>
    <w:p>
      <w:pPr>
        <w:pStyle w:val="Heading1"/>
      </w:pPr>
      <w:r>
        <w:t>14 前端页面与可视化实现</w:t>
      </w:r>
    </w:p>
    <w:p>
      <w:pPr>
        <w:pStyle w:val="Heading2"/>
      </w:pPr>
      <w:r>
        <w:t>14.1 入口和路由</w:t>
      </w:r>
    </w:p>
    <w:p>
      <w:r>
        <w:rPr>
          <w:rFonts w:ascii="Consolas" w:hAnsi="Consolas"/>
          <w:b w:val="0"/>
          <w:color w:val="234C54"/>
          <w:sz w:val="20"/>
        </w:rPr>
        <w:t>frontend/src/main.tsx</w:t>
      </w:r>
      <w:r>
        <w:rPr>
          <w:b w:val="0"/>
        </w:rPr>
        <w:t>接入</w:t>
      </w:r>
      <w:r>
        <w:rPr>
          <w:rFonts w:ascii="Consolas" w:hAnsi="Consolas"/>
          <w:b w:val="0"/>
          <w:color w:val="234C54"/>
          <w:sz w:val="20"/>
        </w:rPr>
        <w:t>frontend/src/operations/App.tsx</w:t>
      </w:r>
      <w:r>
        <w:rPr>
          <w:b w:val="0"/>
        </w:rPr>
        <w:t>的新任务工作空间，采用hash路由。保留</w:t>
      </w:r>
      <w:r>
        <w:rPr>
          <w:rFonts w:ascii="Consolas" w:hAnsi="Consolas"/>
          <w:b w:val="0"/>
          <w:color w:val="234C54"/>
          <w:sz w:val="20"/>
        </w:rPr>
        <w:t>frontend/src/App.tsx</w:t>
      </w:r>
      <w:r>
        <w:rPr>
          <w:b w:val="0"/>
        </w:rPr>
        <w:t>和旧页面用于历史兼容，接手者不应因看到旧文件就把它当当前唯一入口。</w:t>
      </w:r>
    </w:p>
    <w:tbl>
      <w:tblPr>
        <w:tblStyle w:val="TableGrid"/>
        <w:tblW w:type="auto" w:w="0"/>
        <w:jc w:val="center"/>
        <w:tblLayout w:type="fixed"/>
        <w:tblLook w:firstColumn="1" w:firstRow="1" w:lastColumn="0" w:lastRow="0" w:noHBand="0" w:noVBand="1" w:val="04A0"/>
      </w:tblPr>
      <w:tblGrid>
        <w:gridCol w:w="4997"/>
        <w:gridCol w:w="4997"/>
      </w:tblGrid>
      <w:tr>
        <w:trPr>
          <w:tblHeader/>
          <w:cantSplit/>
        </w:trPr>
        <w:tc>
          <w:tcPr>
            <w:tcW w:type="dxa" w:w="4997"/>
            <w:vAlign w:val="center"/>
            <w:shd w:fill="EAF0F0"/>
          </w:tcPr>
          <w:p>
            <w:pPr>
              <w:keepNext/>
              <w:spacing w:before="60" w:after="60" w:line="259" w:lineRule="auto"/>
            </w:pPr>
            <w:r>
              <w:rPr>
                <w:b/>
                <w:sz w:val="20"/>
              </w:rPr>
              <w:t>当前路由或区域</w:t>
            </w:r>
          </w:p>
        </w:tc>
        <w:tc>
          <w:tcPr>
            <w:tcW w:type="dxa" w:w="4997"/>
            <w:vAlign w:val="center"/>
            <w:shd w:fill="EAF0F0"/>
          </w:tcPr>
          <w:p>
            <w:pPr>
              <w:keepNext/>
              <w:spacing w:before="60" w:after="60" w:line="259" w:lineRule="auto"/>
            </w:pPr>
            <w:r>
              <w:rPr>
                <w:b/>
                <w:sz w:val="20"/>
              </w:rPr>
              <w:t>主要文件</w:t>
            </w:r>
          </w:p>
        </w:tc>
      </w:tr>
      <w:tr>
        <w:trPr>
          <w:cantSplit/>
        </w:trPr>
        <w:tc>
          <w:tcPr>
            <w:tcW w:type="dxa" w:w="4997"/>
            <w:vAlign w:val="center"/>
          </w:tcPr>
          <w:p>
            <w:pPr>
              <w:spacing w:before="60" w:after="60" w:line="259" w:lineRule="auto"/>
            </w:pPr>
            <w:r>
              <w:rPr>
                <w:rFonts w:ascii="Consolas" w:hAnsi="Consolas"/>
                <w:b w:val="0"/>
                <w:color w:val="234C54"/>
                <w:sz w:val="20"/>
              </w:rPr>
              <w:t>#/home</w:t>
            </w:r>
          </w:p>
        </w:tc>
        <w:tc>
          <w:tcPr>
            <w:tcW w:type="dxa" w:w="4997"/>
            <w:vAlign w:val="center"/>
          </w:tcPr>
          <w:p>
            <w:pPr>
              <w:spacing w:before="60" w:after="60" w:line="259" w:lineRule="auto"/>
            </w:pPr>
            <w:r>
              <w:rPr>
                <w:b w:val="0"/>
                <w:sz w:val="20"/>
              </w:rPr>
              <w:t>CommandHome、TerrainCommandScene、command-home.css；LandingHome为保留旧实现</w:t>
            </w:r>
          </w:p>
        </w:tc>
      </w:tr>
      <w:tr>
        <w:trPr>
          <w:cantSplit/>
        </w:trPr>
        <w:tc>
          <w:tcPr>
            <w:tcW w:type="dxa" w:w="4997"/>
            <w:vAlign w:val="center"/>
          </w:tcPr>
          <w:p>
            <w:pPr>
              <w:spacing w:before="60" w:after="60" w:line="259" w:lineRule="auto"/>
            </w:pPr>
            <w:r>
              <w:rPr>
                <w:rFonts w:ascii="Consolas" w:hAnsi="Consolas"/>
                <w:b w:val="0"/>
                <w:color w:val="234C54"/>
                <w:sz w:val="20"/>
              </w:rPr>
              <w:t>#/missions</w:t>
            </w:r>
            <w:r>
              <w:rPr>
                <w:b w:val="0"/>
                <w:sz w:val="20"/>
              </w:rPr>
              <w:t>及任务四阶段</w:t>
            </w:r>
          </w:p>
        </w:tc>
        <w:tc>
          <w:tcPr>
            <w:tcW w:type="dxa" w:w="4997"/>
            <w:vAlign w:val="center"/>
          </w:tcPr>
          <w:p>
            <w:pPr>
              <w:spacing w:before="60" w:after="60" w:line="259" w:lineRule="auto"/>
            </w:pPr>
            <w:r>
              <w:rPr>
                <w:b w:val="0"/>
                <w:sz w:val="20"/>
              </w:rPr>
              <w:t>App、MissionWorkspace、ExperienceUI</w:t>
            </w:r>
          </w:p>
        </w:tc>
      </w:tr>
      <w:tr>
        <w:trPr>
          <w:cantSplit/>
        </w:trPr>
        <w:tc>
          <w:tcPr>
            <w:tcW w:type="dxa" w:w="4997"/>
            <w:vAlign w:val="center"/>
          </w:tcPr>
          <w:p>
            <w:pPr>
              <w:spacing w:before="60" w:after="60" w:line="259" w:lineRule="auto"/>
            </w:pPr>
            <w:r>
              <w:rPr>
                <w:rFonts w:ascii="Consolas" w:hAnsi="Consolas"/>
                <w:b w:val="0"/>
                <w:color w:val="234C54"/>
                <w:sz w:val="20"/>
              </w:rPr>
              <w:t>#/missions/{id}/plans</w:t>
            </w:r>
          </w:p>
        </w:tc>
        <w:tc>
          <w:tcPr>
            <w:tcW w:type="dxa" w:w="4997"/>
            <w:vAlign w:val="center"/>
          </w:tcPr>
          <w:p>
            <w:pPr>
              <w:spacing w:before="60" w:after="60" w:line="259" w:lineRule="auto"/>
            </w:pPr>
            <w:r>
              <w:rPr>
                <w:b w:val="0"/>
                <w:sz w:val="20"/>
              </w:rPr>
              <w:t>MissionWorkspace、RescueMap、策略与检查组件</w:t>
            </w:r>
          </w:p>
        </w:tc>
      </w:tr>
      <w:tr>
        <w:trPr>
          <w:cantSplit/>
        </w:trPr>
        <w:tc>
          <w:tcPr>
            <w:tcW w:type="dxa" w:w="4997"/>
            <w:vAlign w:val="center"/>
          </w:tcPr>
          <w:p>
            <w:pPr>
              <w:spacing w:before="60" w:after="60" w:line="259" w:lineRule="auto"/>
            </w:pPr>
            <w:r>
              <w:rPr>
                <w:rFonts w:ascii="Consolas" w:hAnsi="Consolas"/>
                <w:b w:val="0"/>
                <w:color w:val="234C54"/>
                <w:sz w:val="20"/>
              </w:rPr>
              <w:t>.../schedule</w:t>
            </w:r>
          </w:p>
        </w:tc>
        <w:tc>
          <w:tcPr>
            <w:tcW w:type="dxa" w:w="4997"/>
            <w:vAlign w:val="center"/>
          </w:tcPr>
          <w:p>
            <w:pPr>
              <w:spacing w:before="60" w:after="60" w:line="259" w:lineRule="auto"/>
            </w:pPr>
            <w:r>
              <w:rPr>
                <w:b w:val="0"/>
                <w:sz w:val="20"/>
              </w:rPr>
              <w:t>ResultsWorkspace、schedule-data、ResourceTimeline</w:t>
            </w:r>
          </w:p>
        </w:tc>
      </w:tr>
      <w:tr>
        <w:trPr>
          <w:cantSplit/>
        </w:trPr>
        <w:tc>
          <w:tcPr>
            <w:tcW w:type="dxa" w:w="4997"/>
            <w:vAlign w:val="center"/>
          </w:tcPr>
          <w:p>
            <w:pPr>
              <w:spacing w:before="60" w:after="60" w:line="259" w:lineRule="auto"/>
            </w:pPr>
            <w:r>
              <w:rPr>
                <w:rFonts w:ascii="Consolas" w:hAnsi="Consolas"/>
                <w:b w:val="0"/>
                <w:color w:val="234C54"/>
                <w:sz w:val="20"/>
              </w:rPr>
              <w:t>.../terrain</w:t>
            </w:r>
          </w:p>
        </w:tc>
        <w:tc>
          <w:tcPr>
            <w:tcW w:type="dxa" w:w="4997"/>
            <w:vAlign w:val="center"/>
          </w:tcPr>
          <w:p>
            <w:pPr>
              <w:spacing w:before="60" w:after="60" w:line="259" w:lineRule="auto"/>
            </w:pPr>
            <w:r>
              <w:rPr>
                <w:b w:val="0"/>
                <w:sz w:val="20"/>
              </w:rPr>
              <w:t>TerrainWorkspace、TerrainScene、StageCharts</w:t>
            </w:r>
          </w:p>
        </w:tc>
      </w:tr>
      <w:tr>
        <w:trPr>
          <w:cantSplit/>
        </w:trPr>
        <w:tc>
          <w:tcPr>
            <w:tcW w:type="dxa" w:w="4997"/>
            <w:vAlign w:val="center"/>
          </w:tcPr>
          <w:p>
            <w:pPr>
              <w:spacing w:before="60" w:after="60" w:line="259" w:lineRule="auto"/>
            </w:pPr>
            <w:r>
              <w:rPr>
                <w:rFonts w:ascii="Consolas" w:hAnsi="Consolas"/>
                <w:b w:val="0"/>
                <w:color w:val="234C54"/>
                <w:sz w:val="20"/>
              </w:rPr>
              <w:t>.../communication</w:t>
            </w:r>
          </w:p>
        </w:tc>
        <w:tc>
          <w:tcPr>
            <w:tcW w:type="dxa" w:w="4997"/>
            <w:vAlign w:val="center"/>
          </w:tcPr>
          <w:p>
            <w:pPr>
              <w:spacing w:before="60" w:after="60" w:line="259" w:lineRule="auto"/>
            </w:pPr>
            <w:r>
              <w:rPr>
                <w:b w:val="0"/>
                <w:sz w:val="20"/>
              </w:rPr>
              <w:t>CommunicationWorkspace、RadioCoverageExplorer</w:t>
            </w:r>
          </w:p>
        </w:tc>
      </w:tr>
      <w:tr>
        <w:trPr>
          <w:cantSplit/>
        </w:trPr>
        <w:tc>
          <w:tcPr>
            <w:tcW w:type="dxa" w:w="4997"/>
            <w:vAlign w:val="center"/>
          </w:tcPr>
          <w:p>
            <w:pPr>
              <w:spacing w:before="60" w:after="60" w:line="259" w:lineRule="auto"/>
            </w:pPr>
            <w:r>
              <w:rPr>
                <w:rFonts w:ascii="Consolas" w:hAnsi="Consolas"/>
                <w:b w:val="0"/>
                <w:color w:val="234C54"/>
                <w:sz w:val="20"/>
              </w:rPr>
              <w:t>.../insights</w:t>
            </w:r>
          </w:p>
        </w:tc>
        <w:tc>
          <w:tcPr>
            <w:tcW w:type="dxa" w:w="4997"/>
            <w:vAlign w:val="center"/>
          </w:tcPr>
          <w:p>
            <w:pPr>
              <w:spacing w:before="60" w:after="60" w:line="259" w:lineRule="auto"/>
            </w:pPr>
            <w:r>
              <w:rPr>
                <w:b w:val="0"/>
                <w:sz w:val="20"/>
              </w:rPr>
              <w:t>VisualAnalysis及其图表数据适配</w:t>
            </w:r>
          </w:p>
        </w:tc>
      </w:tr>
      <w:tr>
        <w:trPr>
          <w:cantSplit/>
        </w:trPr>
        <w:tc>
          <w:tcPr>
            <w:tcW w:type="dxa" w:w="4997"/>
            <w:vAlign w:val="center"/>
          </w:tcPr>
          <w:p>
            <w:pPr>
              <w:spacing w:before="60" w:after="60" w:line="259" w:lineRule="auto"/>
            </w:pPr>
            <w:r>
              <w:rPr>
                <w:rFonts w:ascii="Consolas" w:hAnsi="Consolas"/>
                <w:b w:val="0"/>
                <w:color w:val="234C54"/>
                <w:sz w:val="20"/>
              </w:rPr>
              <w:t>.../execute</w:t>
            </w:r>
            <w:r>
              <w:rPr>
                <w:b w:val="0"/>
                <w:sz w:val="20"/>
              </w:rPr>
              <w:t>与</w:t>
            </w:r>
            <w:r>
              <w:rPr>
                <w:rFonts w:ascii="Consolas" w:hAnsi="Consolas"/>
                <w:b w:val="0"/>
                <w:color w:val="234C54"/>
                <w:sz w:val="20"/>
              </w:rPr>
              <w:t>.../review</w:t>
            </w:r>
          </w:p>
        </w:tc>
        <w:tc>
          <w:tcPr>
            <w:tcW w:type="dxa" w:w="4997"/>
            <w:vAlign w:val="center"/>
          </w:tcPr>
          <w:p>
            <w:pPr>
              <w:spacing w:before="60" w:after="60" w:line="259" w:lineRule="auto"/>
            </w:pPr>
            <w:r>
              <w:rPr>
                <w:b w:val="0"/>
                <w:sz w:val="20"/>
              </w:rPr>
              <w:t>ExecutionWorkspace、FleetOperationsPanel、ExecutionTimeline、ExecutionInsights</w:t>
            </w:r>
          </w:p>
        </w:tc>
      </w:tr>
      <w:tr>
        <w:trPr>
          <w:cantSplit/>
        </w:trPr>
        <w:tc>
          <w:tcPr>
            <w:tcW w:type="dxa" w:w="4997"/>
            <w:vAlign w:val="center"/>
          </w:tcPr>
          <w:p>
            <w:pPr>
              <w:spacing w:before="60" w:after="60" w:line="259" w:lineRule="auto"/>
            </w:pPr>
            <w:r>
              <w:rPr>
                <w:rFonts w:ascii="Consolas" w:hAnsi="Consolas"/>
                <w:b w:val="0"/>
                <w:color w:val="234C54"/>
                <w:sz w:val="20"/>
              </w:rPr>
              <w:t>#/resources</w:t>
            </w:r>
            <w:r>
              <w:rPr>
                <w:b w:val="0"/>
                <w:sz w:val="20"/>
              </w:rPr>
              <w:t>、评测、帮助</w:t>
            </w:r>
          </w:p>
        </w:tc>
        <w:tc>
          <w:tcPr>
            <w:tcW w:type="dxa" w:w="4997"/>
            <w:vAlign w:val="center"/>
          </w:tcPr>
          <w:p>
            <w:pPr>
              <w:spacing w:before="60" w:after="60" w:line="259" w:lineRule="auto"/>
            </w:pPr>
            <w:r>
              <w:rPr>
                <w:b w:val="0"/>
                <w:sz w:val="20"/>
              </w:rPr>
              <w:t>TaskResources、ExperimentCenter、HelpHub</w:t>
            </w:r>
          </w:p>
        </w:tc>
      </w:tr>
      <w:tr>
        <w:trPr>
          <w:cantSplit/>
        </w:trPr>
        <w:tc>
          <w:tcPr>
            <w:tcW w:type="dxa" w:w="4997"/>
            <w:vAlign w:val="center"/>
          </w:tcPr>
          <w:p>
            <w:pPr>
              <w:spacing w:before="60" w:after="60" w:line="259" w:lineRule="auto"/>
            </w:pPr>
            <w:r>
              <w:rPr>
                <w:rFonts w:ascii="Consolas" w:hAnsi="Consolas"/>
                <w:b w:val="0"/>
                <w:color w:val="234C54"/>
                <w:sz w:val="20"/>
              </w:rPr>
              <w:t>#/cases</w:t>
            </w:r>
            <w:r>
              <w:rPr>
                <w:b w:val="0"/>
                <w:sz w:val="20"/>
              </w:rPr>
              <w:t>、</w:t>
            </w:r>
            <w:r>
              <w:rPr>
                <w:rFonts w:ascii="Consolas" w:hAnsi="Consolas"/>
                <w:b w:val="0"/>
                <w:color w:val="234C54"/>
                <w:sz w:val="20"/>
              </w:rPr>
              <w:t>#/engines</w:t>
            </w:r>
            <w:r>
              <w:rPr>
                <w:b w:val="0"/>
                <w:sz w:val="20"/>
              </w:rPr>
              <w:t>、</w:t>
            </w:r>
            <w:r>
              <w:rPr>
                <w:rFonts w:ascii="Consolas" w:hAnsi="Consolas"/>
                <w:b w:val="0"/>
                <w:color w:val="234C54"/>
                <w:sz w:val="20"/>
              </w:rPr>
              <w:t>#/integrations</w:t>
            </w:r>
          </w:p>
        </w:tc>
        <w:tc>
          <w:tcPr>
            <w:tcW w:type="dxa" w:w="4997"/>
            <w:vAlign w:val="center"/>
          </w:tcPr>
          <w:p>
            <w:pPr>
              <w:spacing w:before="60" w:after="60" w:line="259" w:lineRule="auto"/>
            </w:pPr>
            <w:r>
              <w:rPr>
                <w:b w:val="0"/>
                <w:sz w:val="20"/>
              </w:rPr>
              <w:t>CaseLibrary、EngineCenter、IntegrationCenter；command-workspace.css共享字体与配色</w:t>
            </w:r>
          </w:p>
        </w:tc>
      </w:tr>
    </w:tbl>
    <w:p>
      <w:pPr>
        <w:spacing w:after="20"/>
      </w:pPr>
    </w:p>
    <w:p>
      <w:r>
        <w:rPr>
          <w:b w:val="0"/>
        </w:rPr>
        <w:t>资源中心先按任务分组，再管理地图、机队、电池、物资和该任务档案；不是把全部任务资源无归属混放。Ctrl K搜索支持功能与任务跳转。本机资料设置不等于后端用户系统。</w:t>
      </w:r>
    </w:p>
    <w:p>
      <w:pPr>
        <w:pStyle w:val="Heading2"/>
      </w:pPr>
      <w:r>
        <w:t>14.2 可视化数据来源</w:t>
      </w:r>
    </w:p>
    <w:p>
      <w:r>
        <w:rPr>
          <w:b w:val="0"/>
        </w:rPr>
        <w:t>地图路线来自Plan几何；三维航迹和轨迹动画来自后端实际阶段起止时间与高程；地形曲面可降采样展示，但净空仍用原栅格。二维剖面同时显示地形、巡航和垂直升降，不能用地表投影冒充飞行高度。</w:t>
      </w:r>
    </w:p>
    <w:p>
      <w:r>
        <w:rPr>
          <w:b w:val="0"/>
        </w:rPr>
        <w:t>表格和甘特使用</w:t>
      </w:r>
      <w:r>
        <w:rPr>
          <w:rFonts w:ascii="Consolas" w:hAnsi="Consolas"/>
          <w:b w:val="0"/>
          <w:color w:val="234C54"/>
          <w:sz w:val="20"/>
        </w:rPr>
        <w:t>sortie_id/drone_id/battery_id/component_id</w:t>
      </w:r>
      <w:r>
        <w:rPr>
          <w:b w:val="0"/>
        </w:rPr>
        <w:t>联动；多来源执行还带</w:t>
      </w:r>
      <w:r>
        <w:rPr>
          <w:rFonts w:ascii="Consolas" w:hAnsi="Consolas"/>
          <w:b w:val="0"/>
          <w:color w:val="234C54"/>
          <w:sz w:val="20"/>
        </w:rPr>
        <w:t>plan_id</w:t>
      </w:r>
      <w:r>
        <w:rPr>
          <w:b w:val="0"/>
        </w:rPr>
        <w:t>。图表包括交付进度、需求与库存、任务工作量、能源/时长/SOC、机体电池占用、充电等待、地形高程和通信关系等。无方案、无DEM或缺字段显示未具备，不填固定示例。</w:t>
      </w:r>
    </w:p>
    <w:p>
      <w:r>
        <w:rPr>
          <w:b w:val="0"/>
        </w:rPr>
        <w:t>动效仅改善反馈，不驱动业务时钟或伪造计算进度。深浅主题、1280/1440桌面和1024宽折叠已检查，复杂表格允许自身滚动。成熟后台参考和组件许可在</w:t>
      </w:r>
      <w:r>
        <w:rPr>
          <w:rFonts w:ascii="Consolas" w:hAnsi="Consolas"/>
          <w:b w:val="0"/>
          <w:color w:val="234C54"/>
          <w:sz w:val="20"/>
        </w:rPr>
        <w:t>docs/experience-v3/RESEARCH.md</w:t>
      </w:r>
      <w:r>
        <w:rPr>
          <w:b w:val="0"/>
        </w:rPr>
        <w:t>及前端第三方声明中记录，未复制未知许可模板成品。</w:t>
      </w:r>
    </w:p>
    <w:p>
      <w:pPr>
        <w:pStyle w:val="Heading1"/>
      </w:pPr>
      <w:r>
        <w:t>15 后端 数据库 异步任务与接口</w:t>
      </w:r>
    </w:p>
    <w:p>
      <w:pPr>
        <w:pStyle w:val="Heading2"/>
      </w:pPr>
      <w:r>
        <w:t>15.1 模块职责</w:t>
      </w:r>
    </w:p>
    <w:tbl>
      <w:tblPr>
        <w:tblStyle w:val="TableGrid"/>
        <w:tblW w:type="auto" w:w="0"/>
        <w:jc w:val="center"/>
        <w:tblLayout w:type="fixed"/>
        <w:tblLook w:firstColumn="1" w:firstRow="1" w:lastColumn="0" w:lastRow="0" w:noHBand="0" w:noVBand="1" w:val="04A0"/>
      </w:tblPr>
      <w:tblGrid>
        <w:gridCol w:w="4997"/>
        <w:gridCol w:w="4997"/>
      </w:tblGrid>
      <w:tr>
        <w:trPr>
          <w:tblHeader/>
          <w:cantSplit/>
        </w:trPr>
        <w:tc>
          <w:tcPr>
            <w:tcW w:type="dxa" w:w="4997"/>
            <w:vAlign w:val="center"/>
            <w:shd w:fill="EAF0F0"/>
          </w:tcPr>
          <w:p>
            <w:pPr>
              <w:keepNext/>
              <w:spacing w:before="60" w:after="60" w:line="259" w:lineRule="auto"/>
            </w:pPr>
            <w:r>
              <w:rPr>
                <w:b/>
                <w:sz w:val="20"/>
              </w:rPr>
              <w:t>模块</w:t>
            </w:r>
          </w:p>
        </w:tc>
        <w:tc>
          <w:tcPr>
            <w:tcW w:type="dxa" w:w="4997"/>
            <w:vAlign w:val="center"/>
            <w:shd w:fill="EAF0F0"/>
          </w:tcPr>
          <w:p>
            <w:pPr>
              <w:keepNext/>
              <w:spacing w:before="60" w:after="60" w:line="259" w:lineRule="auto"/>
            </w:pPr>
            <w:r>
              <w:rPr>
                <w:b/>
                <w:sz w:val="20"/>
              </w:rPr>
              <w:t>作用</w:t>
            </w:r>
          </w:p>
        </w:tc>
      </w:tr>
      <w:tr>
        <w:trPr>
          <w:cantSplit/>
        </w:trPr>
        <w:tc>
          <w:tcPr>
            <w:tcW w:type="dxa" w:w="4997"/>
            <w:vAlign w:val="center"/>
          </w:tcPr>
          <w:p>
            <w:pPr>
              <w:spacing w:before="60" w:after="60" w:line="259" w:lineRule="auto"/>
            </w:pPr>
            <w:r>
              <w:rPr>
                <w:b w:val="0"/>
                <w:sz w:val="20"/>
              </w:rPr>
              <w:t>main.py</w:t>
            </w:r>
          </w:p>
        </w:tc>
        <w:tc>
          <w:tcPr>
            <w:tcW w:type="dxa" w:w="4997"/>
            <w:vAlign w:val="center"/>
          </w:tcPr>
          <w:p>
            <w:pPr>
              <w:spacing w:before="60" w:after="60" w:line="259" w:lineRule="auto"/>
            </w:pPr>
            <w:r>
              <w:rPr>
                <w:b w:val="0"/>
                <w:sz w:val="20"/>
              </w:rPr>
              <w:t>FastAPI入口、原场景/快照/Plan/Job/确认/导出与静态托管</w:t>
            </w:r>
          </w:p>
        </w:tc>
      </w:tr>
      <w:tr>
        <w:trPr>
          <w:cantSplit/>
        </w:trPr>
        <w:tc>
          <w:tcPr>
            <w:tcW w:type="dxa" w:w="4997"/>
            <w:vAlign w:val="center"/>
          </w:tcPr>
          <w:p>
            <w:pPr>
              <w:spacing w:before="60" w:after="60" w:line="259" w:lineRule="auto"/>
            </w:pPr>
            <w:r>
              <w:rPr>
                <w:b w:val="0"/>
                <w:sz w:val="20"/>
              </w:rPr>
              <w:t>missions.py、operation_models.py</w:t>
            </w:r>
          </w:p>
        </w:tc>
        <w:tc>
          <w:tcPr>
            <w:tcW w:type="dxa" w:w="4997"/>
            <w:vAlign w:val="center"/>
          </w:tcPr>
          <w:p>
            <w:pPr>
              <w:spacing w:before="60" w:after="60" w:line="259" w:lineRule="auto"/>
            </w:pPr>
            <w:r>
              <w:rPr>
                <w:b w:val="0"/>
                <w:sz w:val="20"/>
              </w:rPr>
              <w:t>任务草稿、预检、严格操作DTO</w:t>
            </w:r>
          </w:p>
        </w:tc>
      </w:tr>
      <w:tr>
        <w:trPr>
          <w:cantSplit/>
        </w:trPr>
        <w:tc>
          <w:tcPr>
            <w:tcW w:type="dxa" w:w="4997"/>
            <w:vAlign w:val="center"/>
          </w:tcPr>
          <w:p>
            <w:pPr>
              <w:spacing w:before="60" w:after="60" w:line="259" w:lineRule="auto"/>
            </w:pPr>
            <w:r>
              <w:rPr>
                <w:b w:val="0"/>
                <w:sz w:val="20"/>
              </w:rPr>
              <w:t>jobs.py、worker.py</w:t>
            </w:r>
          </w:p>
        </w:tc>
        <w:tc>
          <w:tcPr>
            <w:tcW w:type="dxa" w:w="4997"/>
            <w:vAlign w:val="center"/>
          </w:tcPr>
          <w:p>
            <w:pPr>
              <w:spacing w:before="60" w:after="60" w:line="259" w:lineRule="auto"/>
            </w:pPr>
            <w:r>
              <w:rPr>
                <w:b w:val="0"/>
                <w:sz w:val="20"/>
              </w:rPr>
              <w:t>独立子进程、单并发计算、实际取消、进度和异常恢复</w:t>
            </w:r>
          </w:p>
        </w:tc>
      </w:tr>
      <w:tr>
        <w:trPr>
          <w:cantSplit/>
        </w:trPr>
        <w:tc>
          <w:tcPr>
            <w:tcW w:type="dxa" w:w="4997"/>
            <w:vAlign w:val="center"/>
          </w:tcPr>
          <w:p>
            <w:pPr>
              <w:spacing w:before="60" w:after="60" w:line="259" w:lineRule="auto"/>
            </w:pPr>
            <w:r>
              <w:rPr>
                <w:b w:val="0"/>
                <w:sz w:val="20"/>
              </w:rPr>
              <w:t>storage.py</w:t>
            </w:r>
          </w:p>
        </w:tc>
        <w:tc>
          <w:tcPr>
            <w:tcW w:type="dxa" w:w="4997"/>
            <w:vAlign w:val="center"/>
          </w:tcPr>
          <w:p>
            <w:pPr>
              <w:spacing w:before="60" w:after="60" w:line="259" w:lineRule="auto"/>
            </w:pPr>
            <w:r>
              <w:rPr>
                <w:b w:val="0"/>
                <w:sz w:val="20"/>
              </w:rPr>
              <w:t>SQLAlchemy实体、SQLite WAL与事务</w:t>
            </w:r>
          </w:p>
        </w:tc>
      </w:tr>
      <w:tr>
        <w:trPr>
          <w:cantSplit/>
        </w:trPr>
        <w:tc>
          <w:tcPr>
            <w:tcW w:type="dxa" w:w="4997"/>
            <w:vAlign w:val="center"/>
          </w:tcPr>
          <w:p>
            <w:pPr>
              <w:spacing w:before="60" w:after="60" w:line="259" w:lineRule="auto"/>
            </w:pPr>
            <w:r>
              <w:rPr>
                <w:b w:val="0"/>
                <w:sz w:val="20"/>
              </w:rPr>
              <w:t>executions.py、simulation.py</w:t>
            </w:r>
          </w:p>
        </w:tc>
        <w:tc>
          <w:tcPr>
            <w:tcW w:type="dxa" w:w="4997"/>
            <w:vAlign w:val="center"/>
          </w:tcPr>
          <w:p>
            <w:pPr>
              <w:spacing w:before="60" w:after="60" w:line="259" w:lineRule="auto"/>
            </w:pPr>
            <w:r>
              <w:rPr>
                <w:b w:val="0"/>
                <w:sz w:val="20"/>
              </w:rPr>
              <w:t>执行生命周期、账本、后台时钟、事件和调整</w:t>
            </w:r>
          </w:p>
        </w:tc>
      </w:tr>
      <w:tr>
        <w:trPr>
          <w:cantSplit/>
        </w:trPr>
        <w:tc>
          <w:tcPr>
            <w:tcW w:type="dxa" w:w="4997"/>
            <w:vAlign w:val="center"/>
          </w:tcPr>
          <w:p>
            <w:pPr>
              <w:spacing w:before="60" w:after="60" w:line="259" w:lineRule="auto"/>
            </w:pPr>
            <w:r>
              <w:rPr>
                <w:b w:val="0"/>
                <w:sz w:val="20"/>
              </w:rPr>
              <w:t>execution_impact.py、repair_diff.py、repair_evidence.py</w:t>
            </w:r>
          </w:p>
        </w:tc>
        <w:tc>
          <w:tcPr>
            <w:tcW w:type="dxa" w:w="4997"/>
            <w:vAlign w:val="center"/>
          </w:tcPr>
          <w:p>
            <w:pPr>
              <w:spacing w:before="60" w:after="60" w:line="259" w:lineRule="auto"/>
            </w:pPr>
            <w:r>
              <w:rPr>
                <w:b w:val="0"/>
                <w:sz w:val="20"/>
              </w:rPr>
              <w:t>冻结影响图、差异和原文证据</w:t>
            </w:r>
          </w:p>
        </w:tc>
      </w:tr>
      <w:tr>
        <w:trPr>
          <w:cantSplit/>
        </w:trPr>
        <w:tc>
          <w:tcPr>
            <w:tcW w:type="dxa" w:w="4997"/>
            <w:vAlign w:val="center"/>
          </w:tcPr>
          <w:p>
            <w:pPr>
              <w:spacing w:before="60" w:after="60" w:line="259" w:lineRule="auto"/>
            </w:pPr>
            <w:r>
              <w:rPr>
                <w:b w:val="0"/>
                <w:sz w:val="20"/>
              </w:rPr>
              <w:t>device_adapter.py、device_state.py</w:t>
            </w:r>
          </w:p>
        </w:tc>
        <w:tc>
          <w:tcPr>
            <w:tcW w:type="dxa" w:w="4997"/>
            <w:vAlign w:val="center"/>
          </w:tcPr>
          <w:p>
            <w:pPr>
              <w:spacing w:before="60" w:after="60" w:line="259" w:lineRule="auto"/>
            </w:pPr>
            <w:r>
              <w:rPr>
                <w:b w:val="0"/>
                <w:sz w:val="20"/>
              </w:rPr>
              <w:t>模拟设备边界、独立状态、回执与读回</w:t>
            </w:r>
          </w:p>
        </w:tc>
      </w:tr>
      <w:tr>
        <w:trPr>
          <w:cantSplit/>
        </w:trPr>
        <w:tc>
          <w:tcPr>
            <w:tcW w:type="dxa" w:w="4997"/>
            <w:vAlign w:val="center"/>
          </w:tcPr>
          <w:p>
            <w:pPr>
              <w:spacing w:before="60" w:after="60" w:line="259" w:lineRule="auto"/>
            </w:pPr>
            <w:r>
              <w:rPr>
                <w:b w:val="0"/>
                <w:sz w:val="20"/>
              </w:rPr>
              <w:t>terrain_assets.py、terrain_packages.py、map_assets.py</w:t>
            </w:r>
          </w:p>
        </w:tc>
        <w:tc>
          <w:tcPr>
            <w:tcW w:type="dxa" w:w="4997"/>
            <w:vAlign w:val="center"/>
          </w:tcPr>
          <w:p>
            <w:pPr>
              <w:spacing w:before="60" w:after="60" w:line="259" w:lineRule="auto"/>
            </w:pPr>
            <w:r>
              <w:rPr>
                <w:b w:val="0"/>
                <w:sz w:val="20"/>
              </w:rPr>
              <w:t>DEM注册、包移交、地理上下文</w:t>
            </w:r>
          </w:p>
        </w:tc>
      </w:tr>
      <w:tr>
        <w:trPr>
          <w:cantSplit/>
        </w:trPr>
        <w:tc>
          <w:tcPr>
            <w:tcW w:type="dxa" w:w="4997"/>
            <w:vAlign w:val="center"/>
          </w:tcPr>
          <w:p>
            <w:pPr>
              <w:spacing w:before="60" w:after="60" w:line="259" w:lineRule="auto"/>
            </w:pPr>
            <w:r>
              <w:rPr>
                <w:b w:val="0"/>
                <w:sz w:val="20"/>
              </w:rPr>
              <w:t>flight_profiles.py、analytics.py、radio_coverage.py</w:t>
            </w:r>
          </w:p>
        </w:tc>
        <w:tc>
          <w:tcPr>
            <w:tcW w:type="dxa" w:w="4997"/>
            <w:vAlign w:val="center"/>
          </w:tcPr>
          <w:p>
            <w:pPr>
              <w:spacing w:before="60" w:after="60" w:line="259" w:lineRule="auto"/>
            </w:pPr>
            <w:r>
              <w:rPr>
                <w:b w:val="0"/>
                <w:sz w:val="20"/>
              </w:rPr>
              <w:t>绑定快照的阶段、分析和空间采样</w:t>
            </w:r>
          </w:p>
        </w:tc>
      </w:tr>
      <w:tr>
        <w:trPr>
          <w:cantSplit/>
        </w:trPr>
        <w:tc>
          <w:tcPr>
            <w:tcW w:type="dxa" w:w="4997"/>
            <w:vAlign w:val="center"/>
          </w:tcPr>
          <w:p>
            <w:pPr>
              <w:spacing w:before="60" w:after="60" w:line="259" w:lineRule="auto"/>
            </w:pPr>
            <w:r>
              <w:rPr>
                <w:b w:val="0"/>
                <w:sz w:val="20"/>
              </w:rPr>
              <w:t>experiments.py、execution_archive.py</w:t>
            </w:r>
          </w:p>
        </w:tc>
        <w:tc>
          <w:tcPr>
            <w:tcW w:type="dxa" w:w="4997"/>
            <w:vAlign w:val="center"/>
          </w:tcPr>
          <w:p>
            <w:pPr>
              <w:spacing w:before="60" w:after="60" w:line="259" w:lineRule="auto"/>
            </w:pPr>
            <w:r>
              <w:rPr>
                <w:b w:val="0"/>
                <w:sz w:val="20"/>
              </w:rPr>
              <w:t>实际对照实验与只读档案</w:t>
            </w:r>
          </w:p>
        </w:tc>
      </w:tr>
      <w:tr>
        <w:trPr>
          <w:cantSplit/>
        </w:trPr>
        <w:tc>
          <w:tcPr>
            <w:tcW w:type="dxa" w:w="4997"/>
            <w:vAlign w:val="center"/>
          </w:tcPr>
          <w:p>
            <w:pPr>
              <w:spacing w:before="60" w:after="60" w:line="259" w:lineRule="auto"/>
            </w:pPr>
            <w:r>
              <w:rPr>
                <w:b w:val="0"/>
                <w:sz w:val="20"/>
              </w:rPr>
              <w:t>schedule_export.py、reports.py、imports.py</w:t>
            </w:r>
          </w:p>
        </w:tc>
        <w:tc>
          <w:tcPr>
            <w:tcW w:type="dxa" w:w="4997"/>
            <w:vAlign w:val="center"/>
          </w:tcPr>
          <w:p>
            <w:pPr>
              <w:spacing w:before="60" w:after="60" w:line="259" w:lineRule="auto"/>
            </w:pPr>
            <w:r>
              <w:rPr>
                <w:b w:val="0"/>
                <w:sz w:val="20"/>
              </w:rPr>
              <w:t>Excel/报告与严格文件输入</w:t>
            </w:r>
          </w:p>
        </w:tc>
      </w:tr>
    </w:tbl>
    <w:p>
      <w:pPr>
        <w:spacing w:after="20"/>
      </w:pPr>
    </w:p>
    <w:p>
      <w:pPr>
        <w:pStyle w:val="Heading2"/>
      </w:pPr>
      <w:r>
        <w:t>15.2 数据库和运行文件</w:t>
      </w:r>
    </w:p>
    <w:p>
      <w:r>
        <w:rPr>
          <w:rFonts w:ascii="Consolas" w:hAnsi="Consolas"/>
          <w:b w:val="0"/>
          <w:color w:val="234C54"/>
          <w:sz w:val="20"/>
        </w:rPr>
        <w:t>runtime/yuanhang.sqlite3</w:t>
      </w:r>
      <w:r>
        <w:rPr>
          <w:b w:val="0"/>
        </w:rPr>
        <w:t>使用WAL、外键和busy timeout；关键写入可用</w:t>
      </w:r>
      <w:r>
        <w:rPr>
          <w:rFonts w:ascii="Consolas" w:hAnsi="Consolas"/>
          <w:b w:val="0"/>
          <w:color w:val="234C54"/>
          <w:sz w:val="20"/>
        </w:rPr>
        <w:t>BEGIN IMMEDIATE</w:t>
      </w:r>
      <w:r>
        <w:rPr>
          <w:b w:val="0"/>
        </w:rPr>
        <w:t>避免并发采纳/幂等间隙。主要表包括scenarios、scenario_versions、scenario_forks、snapshots、jobs、plans、events、plan_refinements、reservations、confirmations、missions、executions、operation_records。领域详细内容按JSON存储，不能假设每个箱件或每个事实都有独立关系表。</w:t>
      </w:r>
    </w:p>
    <w:p>
      <w:r>
        <w:rPr>
          <w:b w:val="0"/>
        </w:rPr>
        <w:t>operation_records按namespace/owner存放预检、事实、执行事件、调整、设备状态、指令回执、实验与档案等。运行目录还有</w:t>
      </w:r>
      <w:r>
        <w:rPr>
          <w:rFonts w:ascii="Consolas" w:hAnsi="Consolas"/>
          <w:b w:val="0"/>
          <w:color w:val="234C54"/>
          <w:sz w:val="20"/>
        </w:rPr>
        <w:t>jobs/</w:t>
      </w:r>
      <w:r>
        <w:rPr>
          <w:b w:val="0"/>
        </w:rPr>
        <w:t>工件、</w:t>
      </w:r>
      <w:r>
        <w:rPr>
          <w:rFonts w:ascii="Consolas" w:hAnsi="Consolas"/>
          <w:b w:val="0"/>
          <w:color w:val="234C54"/>
          <w:sz w:val="20"/>
        </w:rPr>
        <w:t>assets/</w:t>
      </w:r>
      <w:r>
        <w:rPr>
          <w:b w:val="0"/>
        </w:rPr>
        <w:t>与备份，不进入Git。SQLite原始表和工件共同用于本机追溯；把代码clone到另一台电脑不会自动带走本机历史任务。</w:t>
      </w:r>
    </w:p>
    <w:p>
      <w:pPr>
        <w:pStyle w:val="Heading2"/>
      </w:pPr>
      <w:r>
        <w:t>15.3 Job生命周期</w:t>
      </w:r>
    </w:p>
    <w:p>
      <w:r>
        <w:rPr>
          <w:b w:val="0"/>
        </w:rPr>
        <w:t>Job为queued、running、completed、failed或canceled，与Solver的可行性结果分开。JobManager当前单个Worker并发，多个任务排队；Worker读取冻结input.json，调用纯Solver，写进度与结果。CPU搜索不在HTTP请求线程内长时间执行。</w:t>
      </w:r>
    </w:p>
    <w:p>
      <w:r>
        <w:rPr>
          <w:b w:val="0"/>
        </w:rPr>
        <w:t>取消会终止并等待真正的子进程退出后记录canceled；服务重启遇到未正常结束Job会标记失败并保留输入，不声称原进程仍在继续。修复派发先持久接纳与幂等回执，再派发并绑定Job，避免相同请求在并发间隙重复计算；未确定派发不盲目重发。</w:t>
      </w:r>
    </w:p>
    <w:p>
      <w:pPr>
        <w:pStyle w:val="Heading2"/>
      </w:pPr>
      <w:r>
        <w:t>15.4 核心接口索引</w:t>
      </w:r>
    </w:p>
    <w:p>
      <w:r>
        <w:rPr>
          <w:b w:val="0"/>
        </w:rPr>
        <w:t>V4实际OpenAPI含91个路径模板，部分模板有多个HTTP方法；V3的83路径是历史范围，不是用户功能数量。新增案例/资产聚合、策略包和接入目录。完整字段看</w:t>
      </w:r>
      <w:r>
        <w:rPr>
          <w:rFonts w:ascii="Consolas" w:hAnsi="Consolas"/>
          <w:b w:val="0"/>
          <w:color w:val="234C54"/>
          <w:sz w:val="20"/>
        </w:rPr>
        <w:t>contracts/http/openapi.generated.json</w:t>
      </w:r>
      <w:r>
        <w:rPr>
          <w:b w:val="0"/>
        </w:rPr>
        <w:t>及本机</w:t>
      </w:r>
      <w:r>
        <w:rPr>
          <w:rFonts w:ascii="Consolas" w:hAnsi="Consolas"/>
          <w:b w:val="0"/>
          <w:color w:val="234C54"/>
          <w:sz w:val="20"/>
        </w:rPr>
        <w:t>/docs</w:t>
      </w:r>
      <w:r>
        <w:rPr>
          <w:b w:val="0"/>
        </w:rPr>
        <w:t>，不要按最初Word的示意接口名称调用。</w:t>
      </w:r>
    </w:p>
    <w:tbl>
      <w:tblPr>
        <w:tblStyle w:val="TableGrid"/>
        <w:tblW w:type="auto" w:w="0"/>
        <w:jc w:val="center"/>
        <w:tblLayout w:type="fixed"/>
        <w:tblLook w:firstColumn="1" w:firstRow="1" w:lastColumn="0" w:lastRow="0" w:noHBand="0" w:noVBand="1" w:val="04A0"/>
      </w:tblPr>
      <w:tblGrid>
        <w:gridCol w:w="1728"/>
        <w:gridCol w:w="8266"/>
      </w:tblGrid>
      <w:tr>
        <w:trPr>
          <w:tblHeader/>
          <w:cantSplit/>
        </w:trPr>
        <w:tc>
          <w:tcPr>
            <w:tcW w:type="dxa" w:w="1728"/>
            <w:vAlign w:val="center"/>
            <w:shd w:fill="EAF0F0"/>
          </w:tcPr>
          <w:p>
            <w:pPr>
              <w:keepNext/>
              <w:spacing w:before="60" w:after="60" w:line="259" w:lineRule="auto"/>
            </w:pPr>
            <w:r>
              <w:rPr>
                <w:b/>
                <w:sz w:val="20"/>
              </w:rPr>
              <w:t>用途</w:t>
            </w:r>
          </w:p>
        </w:tc>
        <w:tc>
          <w:tcPr>
            <w:tcW w:type="dxa" w:w="8266"/>
            <w:vAlign w:val="center"/>
            <w:shd w:fill="EAF0F0"/>
          </w:tcPr>
          <w:p>
            <w:pPr>
              <w:keepNext/>
              <w:spacing w:before="60" w:after="60" w:line="259" w:lineRule="auto"/>
            </w:pPr>
            <w:r>
              <w:rPr>
                <w:b/>
                <w:sz w:val="20"/>
              </w:rPr>
              <w:t>实际路径示例，均以</w:t>
            </w:r>
            <w:r>
              <w:rPr>
                <w:rFonts w:ascii="Consolas" w:hAnsi="Consolas"/>
                <w:b/>
                <w:color w:val="234C54"/>
                <w:sz w:val="20"/>
              </w:rPr>
              <w:t>/api/v1</w:t>
            </w:r>
            <w:r>
              <w:rPr>
                <w:b/>
                <w:sz w:val="20"/>
              </w:rPr>
              <w:t>为前缀</w:t>
            </w:r>
          </w:p>
        </w:tc>
      </w:tr>
      <w:tr>
        <w:trPr>
          <w:cantSplit/>
        </w:trPr>
        <w:tc>
          <w:tcPr>
            <w:tcW w:type="dxa" w:w="1728"/>
            <w:vAlign w:val="center"/>
          </w:tcPr>
          <w:p>
            <w:pPr>
              <w:spacing w:before="60" w:after="60" w:line="259" w:lineRule="auto"/>
            </w:pPr>
            <w:r>
              <w:rPr>
                <w:b w:val="0"/>
                <w:sz w:val="20"/>
              </w:rPr>
              <w:t>健康与能力</w:t>
            </w:r>
          </w:p>
        </w:tc>
        <w:tc>
          <w:tcPr>
            <w:tcW w:type="dxa" w:w="8266"/>
            <w:vAlign w:val="center"/>
          </w:tcPr>
          <w:p>
            <w:pPr>
              <w:spacing w:before="60" w:after="60" w:line="259" w:lineRule="auto"/>
            </w:pPr>
            <w:r>
              <w:rPr>
                <w:b w:val="0"/>
                <w:sz w:val="20"/>
              </w:rPr>
              <w:t xml:space="preserve">GET </w:t>
            </w:r>
            <w:r>
              <w:rPr>
                <w:rFonts w:ascii="Consolas" w:hAnsi="Consolas"/>
                <w:b w:val="0"/>
                <w:color w:val="234C54"/>
                <w:sz w:val="20"/>
              </w:rPr>
              <w:t>/health</w:t>
            </w:r>
            <w:r>
              <w:rPr>
                <w:b w:val="0"/>
                <w:sz w:val="20"/>
              </w:rPr>
              <w:t>、</w:t>
            </w:r>
            <w:r>
              <w:rPr>
                <w:rFonts w:ascii="Consolas" w:hAnsi="Consolas"/>
                <w:b w:val="0"/>
                <w:color w:val="234C54"/>
                <w:sz w:val="20"/>
              </w:rPr>
              <w:t>/meta/capabilities</w:t>
            </w:r>
            <w:r>
              <w:rPr>
                <w:b w:val="0"/>
                <w:sz w:val="20"/>
              </w:rPr>
              <w:t>、</w:t>
            </w:r>
            <w:r>
              <w:rPr>
                <w:rFonts w:ascii="Consolas" w:hAnsi="Consolas"/>
                <w:b w:val="0"/>
                <w:color w:val="234C54"/>
                <w:sz w:val="20"/>
              </w:rPr>
              <w:t>/meta/operations-capabilities</w:t>
            </w:r>
          </w:p>
        </w:tc>
      </w:tr>
      <w:tr>
        <w:trPr>
          <w:cantSplit/>
        </w:trPr>
        <w:tc>
          <w:tcPr>
            <w:tcW w:type="dxa" w:w="1728"/>
            <w:vAlign w:val="center"/>
          </w:tcPr>
          <w:p>
            <w:pPr>
              <w:spacing w:before="60" w:after="60" w:line="259" w:lineRule="auto"/>
            </w:pPr>
            <w:r>
              <w:rPr>
                <w:b w:val="0"/>
                <w:sz w:val="20"/>
              </w:rPr>
              <w:t>任务与预检</w:t>
            </w:r>
          </w:p>
        </w:tc>
        <w:tc>
          <w:tcPr>
            <w:tcW w:type="dxa" w:w="8266"/>
            <w:vAlign w:val="center"/>
          </w:tcPr>
          <w:p>
            <w:pPr>
              <w:spacing w:before="60" w:after="60" w:line="259" w:lineRule="auto"/>
            </w:pPr>
            <w:r>
              <w:rPr>
                <w:b w:val="0"/>
                <w:sz w:val="20"/>
              </w:rPr>
              <w:t xml:space="preserve">GET/POST </w:t>
            </w:r>
            <w:r>
              <w:rPr>
                <w:rFonts w:ascii="Consolas" w:hAnsi="Consolas"/>
                <w:b w:val="0"/>
                <w:color w:val="234C54"/>
                <w:sz w:val="20"/>
              </w:rPr>
              <w:t>/missions</w:t>
            </w:r>
            <w:r>
              <w:rPr>
                <w:b w:val="0"/>
                <w:sz w:val="20"/>
              </w:rPr>
              <w:t xml:space="preserve">；PUT </w:t>
            </w:r>
            <w:r>
              <w:rPr>
                <w:rFonts w:ascii="Consolas" w:hAnsi="Consolas"/>
                <w:b w:val="0"/>
                <w:color w:val="234C54"/>
                <w:sz w:val="20"/>
              </w:rPr>
              <w:t>/missions/{id}/draft</w:t>
            </w:r>
            <w:r>
              <w:rPr>
                <w:b w:val="0"/>
                <w:sz w:val="20"/>
              </w:rPr>
              <w:t xml:space="preserve">；POST </w:t>
            </w:r>
            <w:r>
              <w:rPr>
                <w:rFonts w:ascii="Consolas" w:hAnsi="Consolas"/>
                <w:b w:val="0"/>
                <w:color w:val="234C54"/>
                <w:sz w:val="20"/>
              </w:rPr>
              <w:t>/missions/{id}/preflight</w:t>
            </w:r>
          </w:p>
        </w:tc>
      </w:tr>
      <w:tr>
        <w:trPr>
          <w:cantSplit/>
        </w:trPr>
        <w:tc>
          <w:tcPr>
            <w:tcW w:type="dxa" w:w="1728"/>
            <w:vAlign w:val="center"/>
          </w:tcPr>
          <w:p>
            <w:pPr>
              <w:spacing w:before="60" w:after="60" w:line="259" w:lineRule="auto"/>
            </w:pPr>
            <w:r>
              <w:rPr>
                <w:b w:val="0"/>
                <w:sz w:val="20"/>
              </w:rPr>
              <w:t>场景与版本</w:t>
            </w:r>
          </w:p>
        </w:tc>
        <w:tc>
          <w:tcPr>
            <w:tcW w:type="dxa" w:w="8266"/>
            <w:vAlign w:val="center"/>
          </w:tcPr>
          <w:p>
            <w:pPr>
              <w:spacing w:before="60" w:after="60" w:line="259" w:lineRule="auto"/>
            </w:pPr>
            <w:r>
              <w:rPr>
                <w:b w:val="0"/>
                <w:sz w:val="20"/>
              </w:rPr>
              <w:t xml:space="preserve">GET/PUT </w:t>
            </w:r>
            <w:r>
              <w:rPr>
                <w:rFonts w:ascii="Consolas" w:hAnsi="Consolas"/>
                <w:b w:val="0"/>
                <w:color w:val="234C54"/>
                <w:sz w:val="20"/>
              </w:rPr>
              <w:t>/scenarios/{id}</w:t>
            </w:r>
            <w:r>
              <w:rPr>
                <w:b w:val="0"/>
                <w:sz w:val="20"/>
              </w:rPr>
              <w:t xml:space="preserve">；GET </w:t>
            </w:r>
            <w:r>
              <w:rPr>
                <w:rFonts w:ascii="Consolas" w:hAnsi="Consolas"/>
                <w:b w:val="0"/>
                <w:color w:val="234C54"/>
                <w:sz w:val="20"/>
              </w:rPr>
              <w:t>/scenarios/{id}/versions</w:t>
            </w:r>
            <w:r>
              <w:rPr>
                <w:b w:val="0"/>
                <w:sz w:val="20"/>
              </w:rPr>
              <w:t xml:space="preserve">；POST </w:t>
            </w:r>
            <w:r>
              <w:rPr>
                <w:rFonts w:ascii="Consolas" w:hAnsi="Consolas"/>
                <w:b w:val="0"/>
                <w:color w:val="234C54"/>
                <w:sz w:val="20"/>
              </w:rPr>
              <w:t>/scenarios/{id}/snapshots</w:t>
            </w:r>
          </w:p>
        </w:tc>
      </w:tr>
      <w:tr>
        <w:trPr>
          <w:cantSplit/>
        </w:trPr>
        <w:tc>
          <w:tcPr>
            <w:tcW w:type="dxa" w:w="1728"/>
            <w:vAlign w:val="center"/>
          </w:tcPr>
          <w:p>
            <w:pPr>
              <w:spacing w:before="60" w:after="60" w:line="259" w:lineRule="auto"/>
            </w:pPr>
            <w:r>
              <w:rPr>
                <w:b w:val="0"/>
                <w:sz w:val="20"/>
              </w:rPr>
              <w:t>求解</w:t>
            </w:r>
          </w:p>
        </w:tc>
        <w:tc>
          <w:tcPr>
            <w:tcW w:type="dxa" w:w="8266"/>
            <w:vAlign w:val="center"/>
          </w:tcPr>
          <w:p>
            <w:pPr>
              <w:spacing w:before="60" w:after="60" w:line="259" w:lineRule="auto"/>
            </w:pPr>
            <w:r>
              <w:rPr>
                <w:b w:val="0"/>
                <w:sz w:val="20"/>
              </w:rPr>
              <w:t xml:space="preserve">POST </w:t>
            </w:r>
            <w:r>
              <w:rPr>
                <w:rFonts w:ascii="Consolas" w:hAnsi="Consolas"/>
                <w:b w:val="0"/>
                <w:color w:val="234C54"/>
                <w:sz w:val="20"/>
              </w:rPr>
              <w:t>/solve-jobs</w:t>
            </w:r>
            <w:r>
              <w:rPr>
                <w:b w:val="0"/>
                <w:sz w:val="20"/>
              </w:rPr>
              <w:t xml:space="preserve">；GET </w:t>
            </w:r>
            <w:r>
              <w:rPr>
                <w:rFonts w:ascii="Consolas" w:hAnsi="Consolas"/>
                <w:b w:val="0"/>
                <w:color w:val="234C54"/>
                <w:sz w:val="20"/>
              </w:rPr>
              <w:t>/solve-jobs/{id}</w:t>
            </w:r>
            <w:r>
              <w:rPr>
                <w:b w:val="0"/>
                <w:sz w:val="20"/>
              </w:rPr>
              <w:t xml:space="preserve">及progress；POST </w:t>
            </w:r>
            <w:r>
              <w:rPr>
                <w:rFonts w:ascii="Consolas" w:hAnsi="Consolas"/>
                <w:b w:val="0"/>
                <w:color w:val="234C54"/>
                <w:sz w:val="20"/>
              </w:rPr>
              <w:t>.../cancel</w:t>
            </w:r>
          </w:p>
        </w:tc>
      </w:tr>
      <w:tr>
        <w:trPr>
          <w:cantSplit/>
        </w:trPr>
        <w:tc>
          <w:tcPr>
            <w:tcW w:type="dxa" w:w="1728"/>
            <w:vAlign w:val="center"/>
          </w:tcPr>
          <w:p>
            <w:pPr>
              <w:spacing w:before="60" w:after="60" w:line="259" w:lineRule="auto"/>
            </w:pPr>
            <w:r>
              <w:rPr>
                <w:b w:val="0"/>
                <w:sz w:val="20"/>
              </w:rPr>
              <w:t>结果与确认</w:t>
            </w:r>
          </w:p>
        </w:tc>
        <w:tc>
          <w:tcPr>
            <w:tcW w:type="dxa" w:w="8266"/>
            <w:vAlign w:val="center"/>
          </w:tcPr>
          <w:p>
            <w:pPr>
              <w:spacing w:before="60" w:after="60" w:line="259" w:lineRule="auto"/>
            </w:pPr>
            <w:r>
              <w:rPr>
                <w:b w:val="0"/>
                <w:sz w:val="20"/>
              </w:rPr>
              <w:t xml:space="preserve">GET </w:t>
            </w:r>
            <w:r>
              <w:rPr>
                <w:rFonts w:ascii="Consolas" w:hAnsi="Consolas"/>
                <w:b w:val="0"/>
                <w:color w:val="234C54"/>
                <w:sz w:val="20"/>
              </w:rPr>
              <w:t>/plans/{id}</w:t>
            </w:r>
            <w:r>
              <w:rPr>
                <w:b w:val="0"/>
                <w:sz w:val="20"/>
              </w:rPr>
              <w:t xml:space="preserve">；POST </w:t>
            </w:r>
            <w:r>
              <w:rPr>
                <w:rFonts w:ascii="Consolas" w:hAnsi="Consolas"/>
                <w:b w:val="0"/>
                <w:color w:val="234C54"/>
                <w:sz w:val="20"/>
              </w:rPr>
              <w:t>.../confirm</w:t>
            </w:r>
            <w:r>
              <w:rPr>
                <w:b w:val="0"/>
                <w:sz w:val="20"/>
              </w:rPr>
              <w:t xml:space="preserve">；GET </w:t>
            </w:r>
            <w:r>
              <w:rPr>
                <w:rFonts w:ascii="Consolas" w:hAnsi="Consolas"/>
                <w:b w:val="0"/>
                <w:color w:val="234C54"/>
                <w:sz w:val="20"/>
              </w:rPr>
              <w:t>.../comparison</w:t>
            </w:r>
            <w:r>
              <w:rPr>
                <w:b w:val="0"/>
                <w:sz w:val="20"/>
              </w:rPr>
              <w:t>、</w:t>
            </w:r>
            <w:r>
              <w:rPr>
                <w:rFonts w:ascii="Consolas" w:hAnsi="Consolas"/>
                <w:b w:val="0"/>
                <w:color w:val="234C54"/>
                <w:sz w:val="20"/>
              </w:rPr>
              <w:t>.../analysis</w:t>
            </w:r>
            <w:r>
              <w:rPr>
                <w:b w:val="0"/>
                <w:sz w:val="20"/>
              </w:rPr>
              <w:t>、</w:t>
            </w:r>
            <w:r>
              <w:rPr>
                <w:rFonts w:ascii="Consolas" w:hAnsi="Consolas"/>
                <w:b w:val="0"/>
                <w:color w:val="234C54"/>
                <w:sz w:val="20"/>
              </w:rPr>
              <w:t>.../stages</w:t>
            </w:r>
          </w:p>
        </w:tc>
      </w:tr>
      <w:tr>
        <w:trPr>
          <w:cantSplit/>
        </w:trPr>
        <w:tc>
          <w:tcPr>
            <w:tcW w:type="dxa" w:w="1728"/>
            <w:vAlign w:val="center"/>
          </w:tcPr>
          <w:p>
            <w:pPr>
              <w:spacing w:before="60" w:after="60" w:line="259" w:lineRule="auto"/>
            </w:pPr>
            <w:r>
              <w:rPr>
                <w:b w:val="0"/>
                <w:sz w:val="20"/>
              </w:rPr>
              <w:t>空间和资源分析</w:t>
            </w:r>
          </w:p>
        </w:tc>
        <w:tc>
          <w:tcPr>
            <w:tcW w:type="dxa" w:w="8266"/>
            <w:vAlign w:val="center"/>
          </w:tcPr>
          <w:p>
            <w:pPr>
              <w:spacing w:before="60" w:after="60" w:line="259" w:lineRule="auto"/>
            </w:pPr>
            <w:r>
              <w:rPr>
                <w:b w:val="0"/>
                <w:sz w:val="20"/>
              </w:rPr>
              <w:t xml:space="preserve">GET </w:t>
            </w:r>
            <w:r>
              <w:rPr>
                <w:rFonts w:ascii="Consolas" w:hAnsi="Consolas"/>
                <w:b w:val="0"/>
                <w:color w:val="234C54"/>
                <w:sz w:val="20"/>
              </w:rPr>
              <w:t>/plans/{id}/flight-profile</w:t>
            </w:r>
            <w:r>
              <w:rPr>
                <w:b w:val="0"/>
                <w:sz w:val="20"/>
              </w:rPr>
              <w:t>、</w:t>
            </w:r>
            <w:r>
              <w:rPr>
                <w:rFonts w:ascii="Consolas" w:hAnsi="Consolas"/>
                <w:b w:val="0"/>
                <w:color w:val="234C54"/>
                <w:sz w:val="20"/>
              </w:rPr>
              <w:t>.../radio-coverage</w:t>
            </w:r>
            <w:r>
              <w:rPr>
                <w:b w:val="0"/>
                <w:sz w:val="20"/>
              </w:rPr>
              <w:t>、</w:t>
            </w:r>
            <w:r>
              <w:rPr>
                <w:rFonts w:ascii="Consolas" w:hAnsi="Consolas"/>
                <w:b w:val="0"/>
                <w:color w:val="234C54"/>
                <w:sz w:val="20"/>
              </w:rPr>
              <w:t>.../partition</w:t>
            </w:r>
          </w:p>
        </w:tc>
      </w:tr>
      <w:tr>
        <w:trPr>
          <w:cantSplit/>
        </w:trPr>
        <w:tc>
          <w:tcPr>
            <w:tcW w:type="dxa" w:w="1728"/>
            <w:vAlign w:val="center"/>
          </w:tcPr>
          <w:p>
            <w:pPr>
              <w:spacing w:before="60" w:after="60" w:line="259" w:lineRule="auto"/>
            </w:pPr>
            <w:r>
              <w:rPr>
                <w:b w:val="0"/>
                <w:sz w:val="20"/>
              </w:rPr>
              <w:t>导出与试算</w:t>
            </w:r>
          </w:p>
        </w:tc>
        <w:tc>
          <w:tcPr>
            <w:tcW w:type="dxa" w:w="8266"/>
            <w:vAlign w:val="center"/>
          </w:tcPr>
          <w:p>
            <w:pPr>
              <w:spacing w:before="60" w:after="60" w:line="259" w:lineRule="auto"/>
            </w:pPr>
            <w:r>
              <w:rPr>
                <w:b w:val="0"/>
                <w:sz w:val="20"/>
              </w:rPr>
              <w:t xml:space="preserve">GET </w:t>
            </w:r>
            <w:r>
              <w:rPr>
                <w:rFonts w:ascii="Consolas" w:hAnsi="Consolas"/>
                <w:b w:val="0"/>
                <w:color w:val="234C54"/>
                <w:sz w:val="20"/>
              </w:rPr>
              <w:t>/plans/{id}/export?format=xlsx</w:t>
            </w:r>
            <w:r>
              <w:rPr>
                <w:b w:val="0"/>
                <w:sz w:val="20"/>
              </w:rPr>
              <w:t xml:space="preserve">；POST </w:t>
            </w:r>
            <w:r>
              <w:rPr>
                <w:rFonts w:ascii="Consolas" w:hAnsi="Consolas"/>
                <w:b w:val="0"/>
                <w:color w:val="234C54"/>
                <w:sz w:val="20"/>
              </w:rPr>
              <w:t>/scenarios/{id}/what-if</w:t>
            </w:r>
          </w:p>
        </w:tc>
      </w:tr>
      <w:tr>
        <w:trPr>
          <w:cantSplit/>
        </w:trPr>
        <w:tc>
          <w:tcPr>
            <w:tcW w:type="dxa" w:w="1728"/>
            <w:vAlign w:val="center"/>
          </w:tcPr>
          <w:p>
            <w:pPr>
              <w:spacing w:before="60" w:after="60" w:line="259" w:lineRule="auto"/>
            </w:pPr>
            <w:r>
              <w:rPr>
                <w:b w:val="0"/>
                <w:sz w:val="20"/>
              </w:rPr>
              <w:t>零时刻事件</w:t>
            </w:r>
          </w:p>
        </w:tc>
        <w:tc>
          <w:tcPr>
            <w:tcW w:type="dxa" w:w="8266"/>
            <w:vAlign w:val="center"/>
          </w:tcPr>
          <w:p>
            <w:pPr>
              <w:spacing w:before="60" w:after="60" w:line="259" w:lineRule="auto"/>
            </w:pPr>
            <w:r>
              <w:rPr>
                <w:b w:val="0"/>
                <w:sz w:val="20"/>
              </w:rPr>
              <w:t xml:space="preserve">POST </w:t>
            </w:r>
            <w:r>
              <w:rPr>
                <w:rFonts w:ascii="Consolas" w:hAnsi="Consolas"/>
                <w:b w:val="0"/>
                <w:color w:val="234C54"/>
                <w:sz w:val="20"/>
              </w:rPr>
              <w:t>/events</w:t>
            </w:r>
            <w:r>
              <w:rPr>
                <w:b w:val="0"/>
                <w:sz w:val="20"/>
              </w:rPr>
              <w:t>，后续按新快照提交replan Job</w:t>
            </w:r>
          </w:p>
        </w:tc>
      </w:tr>
      <w:tr>
        <w:trPr>
          <w:cantSplit/>
        </w:trPr>
        <w:tc>
          <w:tcPr>
            <w:tcW w:type="dxa" w:w="1728"/>
            <w:vAlign w:val="center"/>
          </w:tcPr>
          <w:p>
            <w:pPr>
              <w:spacing w:before="60" w:after="60" w:line="259" w:lineRule="auto"/>
            </w:pPr>
            <w:r>
              <w:rPr>
                <w:b w:val="0"/>
                <w:sz w:val="20"/>
              </w:rPr>
              <w:t>执行和变化</w:t>
            </w:r>
          </w:p>
        </w:tc>
        <w:tc>
          <w:tcPr>
            <w:tcW w:type="dxa" w:w="8266"/>
            <w:vAlign w:val="center"/>
          </w:tcPr>
          <w:p>
            <w:pPr>
              <w:spacing w:before="60" w:after="60" w:line="259" w:lineRule="auto"/>
            </w:pPr>
            <w:r>
              <w:rPr>
                <w:b w:val="0"/>
                <w:sz w:val="20"/>
              </w:rPr>
              <w:t xml:space="preserve">POST </w:t>
            </w:r>
            <w:r>
              <w:rPr>
                <w:rFonts w:ascii="Consolas" w:hAnsi="Consolas"/>
                <w:b w:val="0"/>
                <w:color w:val="234C54"/>
                <w:sz w:val="20"/>
              </w:rPr>
              <w:t>/executions</w:t>
            </w:r>
            <w:r>
              <w:rPr>
                <w:b w:val="0"/>
                <w:sz w:val="20"/>
              </w:rPr>
              <w:t xml:space="preserve">；POST </w:t>
            </w:r>
            <w:r>
              <w:rPr>
                <w:rFonts w:ascii="Consolas" w:hAnsi="Consolas"/>
                <w:b w:val="0"/>
                <w:color w:val="234C54"/>
                <w:sz w:val="20"/>
              </w:rPr>
              <w:t>/executions/{id}/simulation/actions</w:t>
            </w:r>
            <w:r>
              <w:rPr>
                <w:b w:val="0"/>
                <w:sz w:val="20"/>
              </w:rPr>
              <w:t>、</w:t>
            </w:r>
            <w:r>
              <w:rPr>
                <w:rFonts w:ascii="Consolas" w:hAnsi="Consolas"/>
                <w:b w:val="0"/>
                <w:color w:val="234C54"/>
                <w:sz w:val="20"/>
              </w:rPr>
              <w:t>.../events</w:t>
            </w:r>
            <w:r>
              <w:rPr>
                <w:b w:val="0"/>
                <w:sz w:val="20"/>
              </w:rPr>
              <w:t>、</w:t>
            </w:r>
            <w:r>
              <w:rPr>
                <w:rFonts w:ascii="Consolas" w:hAnsi="Consolas"/>
                <w:b w:val="0"/>
                <w:color w:val="234C54"/>
                <w:sz w:val="20"/>
              </w:rPr>
              <w:t>.../replan-jobs</w:t>
            </w:r>
          </w:p>
        </w:tc>
      </w:tr>
      <w:tr>
        <w:trPr>
          <w:cantSplit/>
        </w:trPr>
        <w:tc>
          <w:tcPr>
            <w:tcW w:type="dxa" w:w="1728"/>
            <w:vAlign w:val="center"/>
          </w:tcPr>
          <w:p>
            <w:pPr>
              <w:spacing w:before="60" w:after="60" w:line="259" w:lineRule="auto"/>
            </w:pPr>
            <w:r>
              <w:rPr>
                <w:b w:val="0"/>
                <w:sz w:val="20"/>
              </w:rPr>
              <w:t>采纳与设备</w:t>
            </w:r>
          </w:p>
        </w:tc>
        <w:tc>
          <w:tcPr>
            <w:tcW w:type="dxa" w:w="8266"/>
            <w:vAlign w:val="center"/>
          </w:tcPr>
          <w:p>
            <w:pPr>
              <w:spacing w:before="60" w:after="60" w:line="259" w:lineRule="auto"/>
            </w:pPr>
            <w:r>
              <w:rPr>
                <w:b w:val="0"/>
                <w:sz w:val="20"/>
              </w:rPr>
              <w:t xml:space="preserve">POST </w:t>
            </w:r>
            <w:r>
              <w:rPr>
                <w:rFonts w:ascii="Consolas" w:hAnsi="Consolas"/>
                <w:b w:val="0"/>
                <w:color w:val="234C54"/>
                <w:sz w:val="20"/>
              </w:rPr>
              <w:t>/executions/{id}/plan-changes/{change_id}/apply</w:t>
            </w:r>
            <w:r>
              <w:rPr>
                <w:b w:val="0"/>
                <w:sz w:val="20"/>
              </w:rPr>
              <w:t xml:space="preserve">；POST </w:t>
            </w:r>
            <w:r>
              <w:rPr>
                <w:rFonts w:ascii="Consolas" w:hAnsi="Consolas"/>
                <w:b w:val="0"/>
                <w:color w:val="234C54"/>
                <w:sz w:val="20"/>
              </w:rPr>
              <w:t>/commands</w:t>
            </w:r>
            <w:r>
              <w:rPr>
                <w:b w:val="0"/>
                <w:sz w:val="20"/>
              </w:rPr>
              <w:t>；GET设备mission-state</w:t>
            </w:r>
          </w:p>
        </w:tc>
      </w:tr>
      <w:tr>
        <w:trPr>
          <w:cantSplit/>
        </w:trPr>
        <w:tc>
          <w:tcPr>
            <w:tcW w:type="dxa" w:w="1728"/>
            <w:vAlign w:val="center"/>
          </w:tcPr>
          <w:p>
            <w:pPr>
              <w:spacing w:before="60" w:after="60" w:line="259" w:lineRule="auto"/>
            </w:pPr>
            <w:r>
              <w:rPr>
                <w:b w:val="0"/>
                <w:sz w:val="20"/>
              </w:rPr>
              <w:t>流与复盘</w:t>
            </w:r>
          </w:p>
        </w:tc>
        <w:tc>
          <w:tcPr>
            <w:tcW w:type="dxa" w:w="8266"/>
            <w:vAlign w:val="center"/>
          </w:tcPr>
          <w:p>
            <w:pPr>
              <w:spacing w:before="60" w:after="60" w:line="259" w:lineRule="auto"/>
            </w:pPr>
            <w:r>
              <w:rPr>
                <w:b w:val="0"/>
                <w:sz w:val="20"/>
              </w:rPr>
              <w:t xml:space="preserve">GET </w:t>
            </w:r>
            <w:r>
              <w:rPr>
                <w:rFonts w:ascii="Consolas" w:hAnsi="Consolas"/>
                <w:b w:val="0"/>
                <w:color w:val="234C54"/>
                <w:sz w:val="20"/>
              </w:rPr>
              <w:t>/executions/{id}/stream</w:t>
            </w:r>
            <w:r>
              <w:rPr>
                <w:b w:val="0"/>
                <w:sz w:val="20"/>
              </w:rPr>
              <w:t>、</w:t>
            </w:r>
            <w:r>
              <w:rPr>
                <w:rFonts w:ascii="Consolas" w:hAnsi="Consolas"/>
                <w:b w:val="0"/>
                <w:color w:val="234C54"/>
                <w:sz w:val="20"/>
              </w:rPr>
              <w:t>.../analysis</w:t>
            </w:r>
            <w:r>
              <w:rPr>
                <w:b w:val="0"/>
                <w:sz w:val="20"/>
              </w:rPr>
              <w:t>、</w:t>
            </w:r>
            <w:r>
              <w:rPr>
                <w:rFonts w:ascii="Consolas" w:hAnsi="Consolas"/>
                <w:b w:val="0"/>
                <w:color w:val="234C54"/>
                <w:sz w:val="20"/>
              </w:rPr>
              <w:t>.../export</w:t>
            </w:r>
          </w:p>
        </w:tc>
      </w:tr>
      <w:tr>
        <w:trPr>
          <w:cantSplit/>
        </w:trPr>
        <w:tc>
          <w:tcPr>
            <w:tcW w:type="dxa" w:w="1728"/>
            <w:vAlign w:val="center"/>
          </w:tcPr>
          <w:p>
            <w:pPr>
              <w:spacing w:before="60" w:after="60" w:line="259" w:lineRule="auto"/>
            </w:pPr>
            <w:r>
              <w:rPr>
                <w:b w:val="0"/>
                <w:sz w:val="20"/>
              </w:rPr>
              <w:t>档案与评测</w:t>
            </w:r>
          </w:p>
        </w:tc>
        <w:tc>
          <w:tcPr>
            <w:tcW w:type="dxa" w:w="8266"/>
            <w:vAlign w:val="center"/>
          </w:tcPr>
          <w:p>
            <w:pPr>
              <w:spacing w:before="60" w:after="60" w:line="259" w:lineRule="auto"/>
            </w:pPr>
            <w:r>
              <w:rPr>
                <w:b w:val="0"/>
                <w:sz w:val="20"/>
              </w:rPr>
              <w:t xml:space="preserve">POST </w:t>
            </w:r>
            <w:r>
              <w:rPr>
                <w:rFonts w:ascii="Consolas" w:hAnsi="Consolas"/>
                <w:b w:val="0"/>
                <w:color w:val="234C54"/>
                <w:sz w:val="20"/>
              </w:rPr>
              <w:t>/execution-archives/import</w:t>
            </w:r>
            <w:r>
              <w:rPr>
                <w:b w:val="0"/>
                <w:sz w:val="20"/>
              </w:rPr>
              <w:t xml:space="preserve">；GET/POST </w:t>
            </w:r>
            <w:r>
              <w:rPr>
                <w:rFonts w:ascii="Consolas" w:hAnsi="Consolas"/>
                <w:b w:val="0"/>
                <w:color w:val="234C54"/>
                <w:sz w:val="20"/>
              </w:rPr>
              <w:t>/experiments</w:t>
            </w:r>
          </w:p>
        </w:tc>
      </w:tr>
    </w:tbl>
    <w:p>
      <w:pPr>
        <w:spacing w:after="20"/>
      </w:pPr>
    </w:p>
    <w:p>
      <w:r>
        <w:rPr>
          <w:b w:val="0"/>
        </w:rPr>
        <w:t>错误返回包含稳定code、可读message和请求关联信息。409用于版本、幂等内容或资源等冲突；422常用于结构或输入范围问题，准确语义以对应接口为准，不能统一改成“算法无解”。</w:t>
      </w:r>
    </w:p>
    <w:p>
      <w:pPr>
        <w:pStyle w:val="Heading2"/>
      </w:pPr>
      <w:r>
        <w:t>15.5 算法对接合同</w:t>
      </w:r>
    </w:p>
    <w:p>
      <w:pPr>
        <w:keepNext/>
        <w:spacing w:after="40" w:line="252" w:lineRule="auto"/>
      </w:pPr>
      <w:r>
        <w:rPr>
          <w:rFonts w:ascii="Consolas" w:hAnsi="Consolas" w:eastAsia="微软雅黑"/>
          <w:sz w:val="19"/>
        </w:rPr>
        <w:t>solve(snapshot, options, progress_callback=None, *, initial_plan=None) -&gt; dict</w:t>
      </w:r>
    </w:p>
    <w:p>
      <w:pPr>
        <w:keepNext/>
        <w:spacing w:after="40" w:line="252" w:lineRule="auto"/>
      </w:pPr>
      <w:r>
        <w:rPr>
          <w:rFonts w:ascii="Consolas" w:hAnsi="Consolas" w:eastAsia="微软雅黑"/>
          <w:sz w:val="19"/>
        </w:rPr>
        <w:t>replan(snapshot, previous_plan, event, options, progress_callback=None) -&gt; dict</w:t>
      </w:r>
    </w:p>
    <w:p>
      <w:pPr>
        <w:keepNext/>
        <w:spacing w:after="40" w:line="252" w:lineRule="auto"/>
      </w:pPr>
      <w:r>
        <w:rPr>
          <w:rFonts w:ascii="Consolas" w:hAnsi="Consolas" w:eastAsia="微软雅黑"/>
          <w:sz w:val="19"/>
        </w:rPr>
        <w:t>repair_remaining(snapshot, reference, options, progress_callback=None) -&gt; dict</w:t>
      </w:r>
    </w:p>
    <w:p>
      <w:pPr>
        <w:keepNext/>
        <w:spacing w:after="40" w:line="252" w:lineRule="auto"/>
      </w:pPr>
      <w:r>
        <w:rPr>
          <w:rFonts w:ascii="Consolas" w:hAnsi="Consolas" w:eastAsia="微软雅黑"/>
          <w:sz w:val="19"/>
        </w:rPr>
        <w:t>validate(snapshot, plan) -&gt; dict</w:t>
      </w:r>
    </w:p>
    <w:p>
      <w:pPr>
        <w:keepNext w:val="0"/>
        <w:spacing w:after="40" w:line="252" w:lineRule="auto"/>
      </w:pPr>
      <w:r>
        <w:rPr>
          <w:rFonts w:ascii="Consolas" w:hAnsi="Consolas" w:eastAsia="微软雅黑"/>
          <w:sz w:val="19"/>
        </w:rPr>
        <w:t>capabilities() -&gt; dict</w:t>
      </w:r>
    </w:p>
    <w:p>
      <w:r>
        <w:rPr>
          <w:b w:val="0"/>
        </w:rPr>
        <w:t>Snapshot和Options是JSON兼容对象，调用不修改输入。后端分配Plan/Snapshot身份；核心Options包含目标、规则、mode、预算、seed、请求范围、父Plan/Event和禁止部分保障等。HTTP的</w:t>
      </w:r>
      <w:r>
        <w:rPr>
          <w:rFonts w:ascii="Consolas" w:hAnsi="Consolas"/>
          <w:b w:val="0"/>
          <w:color w:val="234C54"/>
          <w:sz w:val="20"/>
        </w:rPr>
        <w:t>initial_plan_id/repair_reference_id</w:t>
      </w:r>
      <w:r>
        <w:rPr>
          <w:b w:val="0"/>
        </w:rPr>
        <w:t>是后端加载元数据，不能直接作为未知字段塞给SolverOptions。自定义DEM通过只读</w:t>
      </w:r>
      <w:r>
        <w:rPr>
          <w:rFonts w:ascii="Consolas" w:hAnsi="Consolas"/>
          <w:b w:val="0"/>
          <w:color w:val="234C54"/>
          <w:sz w:val="20"/>
        </w:rPr>
        <w:t>terrain_store</w:t>
      </w:r>
      <w:r>
        <w:rPr>
          <w:b w:val="0"/>
        </w:rPr>
        <w:t>上下文提供，不将本机私有绝对路径写进契约。</w:t>
      </w:r>
    </w:p>
    <w:p>
      <w:r>
        <w:rPr>
          <w:b w:val="0"/>
        </w:rPr>
        <w:t>JSON Schema为领域数据源，生成Pydantic；操作DTO导出操作Schema与实际OpenAPI，再生成前端HTTP类型。</w:t>
      </w:r>
      <w:r>
        <w:rPr>
          <w:rFonts w:ascii="Consolas" w:hAnsi="Consolas"/>
          <w:b w:val="0"/>
          <w:color w:val="234C54"/>
          <w:sz w:val="20"/>
        </w:rPr>
        <w:t>openapi.draft.json</w:t>
      </w:r>
      <w:r>
        <w:rPr>
          <w:b w:val="0"/>
        </w:rPr>
        <w:t>是历史目标草案，不能覆盖实际快照。Schema文件历史描述中的“G0草案”不表示没有实现，但正式批准状态仍未冻结。</w:t>
      </w:r>
    </w:p>
    <w:p>
      <w:pPr>
        <w:pStyle w:val="Heading1"/>
      </w:pPr>
      <w:r>
        <w:t>16 已有实跑证据及其适用范围</w:t>
      </w:r>
    </w:p>
    <w:p>
      <w:pPr>
        <w:pStyle w:val="Heading2"/>
      </w:pPr>
      <w:r>
        <w:t>16.1 V3三个案例</w:t>
      </w:r>
    </w:p>
    <w:p>
      <w:r>
        <w:rPr>
          <w:b w:val="0"/>
        </w:rPr>
        <w:t>以下来自</w:t>
      </w:r>
      <w:r>
        <w:rPr>
          <w:rFonts w:ascii="Consolas" w:hAnsi="Consolas"/>
          <w:b w:val="0"/>
          <w:color w:val="234C54"/>
          <w:sz w:val="20"/>
        </w:rPr>
        <w:t>evidence/experience-v3/cases/</w:t>
      </w:r>
      <w:r>
        <w:rPr>
          <w:b w:val="0"/>
        </w:rPr>
        <w:t>的真实隔离Worker记录和当前独立复核。均为单次记录，不是统计基准或跨机器性能承诺。此文档整理没有重新运行它们，保留原记录时间与身份。</w:t>
      </w:r>
    </w:p>
    <w:tbl>
      <w:tblPr>
        <w:tblStyle w:val="TableGrid"/>
        <w:tblW w:type="auto" w:w="0"/>
        <w:jc w:val="center"/>
        <w:tblLayout w:type="fixed"/>
        <w:tblLook w:firstColumn="1" w:firstRow="1" w:lastColumn="0" w:lastRow="0" w:noHBand="0" w:noVBand="1" w:val="04A0"/>
      </w:tblPr>
      <w:tblGrid>
        <w:gridCol w:w="1728"/>
        <w:gridCol w:w="778"/>
        <w:gridCol w:w="1123"/>
        <w:gridCol w:w="1584"/>
        <w:gridCol w:w="1584"/>
        <w:gridCol w:w="1613"/>
        <w:gridCol w:w="1584"/>
      </w:tblGrid>
      <w:tr>
        <w:trPr>
          <w:tblHeader/>
          <w:cantSplit/>
        </w:trPr>
        <w:tc>
          <w:tcPr>
            <w:tcW w:type="dxa" w:w="1728"/>
            <w:vAlign w:val="center"/>
            <w:shd w:fill="EAF0F0"/>
          </w:tcPr>
          <w:p>
            <w:pPr>
              <w:keepNext/>
              <w:spacing w:before="60" w:after="60" w:line="259" w:lineRule="auto"/>
            </w:pPr>
            <w:r>
              <w:rPr>
                <w:b/>
                <w:sz w:val="19"/>
              </w:rPr>
              <w:t>案例</w:t>
            </w:r>
          </w:p>
        </w:tc>
        <w:tc>
          <w:tcPr>
            <w:tcW w:type="dxa" w:w="778"/>
            <w:vAlign w:val="center"/>
            <w:shd w:fill="EAF0F0"/>
          </w:tcPr>
          <w:p>
            <w:pPr>
              <w:keepNext/>
              <w:spacing w:before="60" w:after="60" w:line="259" w:lineRule="auto"/>
            </w:pPr>
            <w:r>
              <w:rPr>
                <w:b/>
                <w:sz w:val="19"/>
              </w:rPr>
              <w:t>点/箱</w:t>
            </w:r>
          </w:p>
        </w:tc>
        <w:tc>
          <w:tcPr>
            <w:tcW w:type="dxa" w:w="1123"/>
            <w:vAlign w:val="center"/>
            <w:shd w:fill="EAF0F0"/>
          </w:tcPr>
          <w:p>
            <w:pPr>
              <w:keepNext/>
              <w:spacing w:before="60" w:after="60" w:line="259" w:lineRule="auto"/>
            </w:pPr>
            <w:r>
              <w:rPr>
                <w:b/>
                <w:sz w:val="19"/>
              </w:rPr>
              <w:t>运输/中继架次</w:t>
            </w:r>
          </w:p>
        </w:tc>
        <w:tc>
          <w:tcPr>
            <w:tcW w:type="dxa" w:w="1584"/>
            <w:vAlign w:val="center"/>
            <w:shd w:fill="EAF0F0"/>
          </w:tcPr>
          <w:p>
            <w:pPr>
              <w:keepNext/>
              <w:spacing w:before="60" w:after="60" w:line="259" w:lineRule="auto"/>
            </w:pPr>
            <w:r>
              <w:rPr>
                <w:b/>
                <w:sz w:val="19"/>
              </w:rPr>
              <w:t>最后返航s</w:t>
            </w:r>
          </w:p>
        </w:tc>
        <w:tc>
          <w:tcPr>
            <w:tcW w:type="dxa" w:w="1584"/>
            <w:vAlign w:val="center"/>
            <w:shd w:fill="EAF0F0"/>
          </w:tcPr>
          <w:p>
            <w:pPr>
              <w:keepNext/>
              <w:spacing w:before="60" w:after="60" w:line="259" w:lineRule="auto"/>
            </w:pPr>
            <w:r>
              <w:rPr>
                <w:b/>
                <w:sz w:val="19"/>
              </w:rPr>
              <w:t>运输能源kWh</w:t>
            </w:r>
          </w:p>
        </w:tc>
        <w:tc>
          <w:tcPr>
            <w:tcW w:type="dxa" w:w="1613"/>
            <w:vAlign w:val="center"/>
            <w:shd w:fill="EAF0F0"/>
          </w:tcPr>
          <w:p>
            <w:pPr>
              <w:keepNext/>
              <w:spacing w:before="60" w:after="60" w:line="259" w:lineRule="auto"/>
            </w:pPr>
            <w:r>
              <w:rPr>
                <w:b/>
                <w:sz w:val="19"/>
              </w:rPr>
              <w:t>联合能源kWh</w:t>
            </w:r>
          </w:p>
        </w:tc>
        <w:tc>
          <w:tcPr>
            <w:tcW w:type="dxa" w:w="1584"/>
            <w:vAlign w:val="center"/>
            <w:shd w:fill="EAF0F0"/>
          </w:tcPr>
          <w:p>
            <w:pPr>
              <w:keepNext/>
              <w:spacing w:before="60" w:after="60" w:line="259" w:lineRule="auto"/>
            </w:pPr>
            <w:r>
              <w:rPr>
                <w:b/>
                <w:sz w:val="19"/>
              </w:rPr>
              <w:t>Job记录运行s</w:t>
            </w:r>
          </w:p>
        </w:tc>
      </w:tr>
      <w:tr>
        <w:trPr>
          <w:cantSplit/>
        </w:trPr>
        <w:tc>
          <w:tcPr>
            <w:tcW w:type="dxa" w:w="1728"/>
            <w:vAlign w:val="center"/>
          </w:tcPr>
          <w:p>
            <w:pPr>
              <w:spacing w:before="60" w:after="60" w:line="259" w:lineRule="auto"/>
            </w:pPr>
            <w:r>
              <w:rPr>
                <w:b w:val="0"/>
                <w:sz w:val="19"/>
              </w:rPr>
              <w:t>compact</w:t>
            </w:r>
          </w:p>
        </w:tc>
        <w:tc>
          <w:tcPr>
            <w:tcW w:type="dxa" w:w="778"/>
            <w:vAlign w:val="center"/>
          </w:tcPr>
          <w:p>
            <w:pPr>
              <w:spacing w:before="60" w:after="60" w:line="259" w:lineRule="auto"/>
            </w:pPr>
            <w:r>
              <w:rPr>
                <w:b w:val="0"/>
                <w:sz w:val="19"/>
              </w:rPr>
              <w:t>5/32</w:t>
            </w:r>
          </w:p>
        </w:tc>
        <w:tc>
          <w:tcPr>
            <w:tcW w:type="dxa" w:w="1123"/>
            <w:vAlign w:val="center"/>
          </w:tcPr>
          <w:p>
            <w:pPr>
              <w:spacing w:before="60" w:after="60" w:line="259" w:lineRule="auto"/>
            </w:pPr>
            <w:r>
              <w:rPr>
                <w:b w:val="0"/>
                <w:sz w:val="19"/>
              </w:rPr>
              <w:t>7/0</w:t>
            </w:r>
          </w:p>
        </w:tc>
        <w:tc>
          <w:tcPr>
            <w:tcW w:type="dxa" w:w="1584"/>
            <w:vAlign w:val="center"/>
          </w:tcPr>
          <w:p>
            <w:pPr>
              <w:spacing w:before="60" w:after="60" w:line="259" w:lineRule="auto"/>
            </w:pPr>
            <w:r>
              <w:rPr>
                <w:b w:val="0"/>
                <w:sz w:val="19"/>
              </w:rPr>
              <w:t>7241.674</w:t>
            </w:r>
          </w:p>
        </w:tc>
        <w:tc>
          <w:tcPr>
            <w:tcW w:type="dxa" w:w="1584"/>
            <w:vAlign w:val="center"/>
          </w:tcPr>
          <w:p>
            <w:pPr>
              <w:spacing w:before="60" w:after="60" w:line="259" w:lineRule="auto"/>
            </w:pPr>
            <w:r>
              <w:rPr>
                <w:b w:val="0"/>
                <w:sz w:val="19"/>
              </w:rPr>
              <w:t>23.42652</w:t>
            </w:r>
          </w:p>
        </w:tc>
        <w:tc>
          <w:tcPr>
            <w:tcW w:type="dxa" w:w="1613"/>
            <w:vAlign w:val="center"/>
          </w:tcPr>
          <w:p>
            <w:pPr>
              <w:spacing w:before="60" w:after="60" w:line="259" w:lineRule="auto"/>
            </w:pPr>
            <w:r>
              <w:rPr>
                <w:b w:val="0"/>
                <w:sz w:val="19"/>
              </w:rPr>
              <w:t>不适用</w:t>
            </w:r>
          </w:p>
        </w:tc>
        <w:tc>
          <w:tcPr>
            <w:tcW w:type="dxa" w:w="1584"/>
            <w:vAlign w:val="center"/>
          </w:tcPr>
          <w:p>
            <w:pPr>
              <w:spacing w:before="60" w:after="60" w:line="259" w:lineRule="auto"/>
            </w:pPr>
            <w:r>
              <w:rPr>
                <w:b w:val="0"/>
                <w:sz w:val="19"/>
              </w:rPr>
              <w:t>3.588</w:t>
            </w:r>
          </w:p>
        </w:tc>
      </w:tr>
      <w:tr>
        <w:trPr>
          <w:cantSplit/>
        </w:trPr>
        <w:tc>
          <w:tcPr>
            <w:tcW w:type="dxa" w:w="1728"/>
            <w:vAlign w:val="center"/>
          </w:tcPr>
          <w:p>
            <w:pPr>
              <w:spacing w:before="60" w:after="60" w:line="259" w:lineRule="auto"/>
            </w:pPr>
            <w:r>
              <w:rPr>
                <w:b w:val="0"/>
                <w:sz w:val="19"/>
              </w:rPr>
              <w:t>compact_joint</w:t>
            </w:r>
          </w:p>
        </w:tc>
        <w:tc>
          <w:tcPr>
            <w:tcW w:type="dxa" w:w="778"/>
            <w:vAlign w:val="center"/>
          </w:tcPr>
          <w:p>
            <w:pPr>
              <w:spacing w:before="60" w:after="60" w:line="259" w:lineRule="auto"/>
            </w:pPr>
            <w:r>
              <w:rPr>
                <w:b w:val="0"/>
                <w:sz w:val="19"/>
              </w:rPr>
              <w:t>5/32</w:t>
            </w:r>
          </w:p>
        </w:tc>
        <w:tc>
          <w:tcPr>
            <w:tcW w:type="dxa" w:w="1123"/>
            <w:vAlign w:val="center"/>
          </w:tcPr>
          <w:p>
            <w:pPr>
              <w:spacing w:before="60" w:after="60" w:line="259" w:lineRule="auto"/>
            </w:pPr>
            <w:r>
              <w:rPr>
                <w:b w:val="0"/>
                <w:sz w:val="19"/>
              </w:rPr>
              <w:t>7/2</w:t>
            </w:r>
          </w:p>
        </w:tc>
        <w:tc>
          <w:tcPr>
            <w:tcW w:type="dxa" w:w="1584"/>
            <w:vAlign w:val="center"/>
          </w:tcPr>
          <w:p>
            <w:pPr>
              <w:spacing w:before="60" w:after="60" w:line="259" w:lineRule="auto"/>
            </w:pPr>
            <w:r>
              <w:rPr>
                <w:b w:val="0"/>
                <w:sz w:val="19"/>
              </w:rPr>
              <w:t>7241.687</w:t>
            </w:r>
          </w:p>
        </w:tc>
        <w:tc>
          <w:tcPr>
            <w:tcW w:type="dxa" w:w="1584"/>
            <w:vAlign w:val="center"/>
          </w:tcPr>
          <w:p>
            <w:pPr>
              <w:spacing w:before="60" w:after="60" w:line="259" w:lineRule="auto"/>
            </w:pPr>
            <w:r>
              <w:rPr>
                <w:b w:val="0"/>
                <w:sz w:val="19"/>
              </w:rPr>
              <w:t>23.42652</w:t>
            </w:r>
          </w:p>
        </w:tc>
        <w:tc>
          <w:tcPr>
            <w:tcW w:type="dxa" w:w="1613"/>
            <w:vAlign w:val="center"/>
          </w:tcPr>
          <w:p>
            <w:pPr>
              <w:spacing w:before="60" w:after="60" w:line="259" w:lineRule="auto"/>
            </w:pPr>
            <w:r>
              <w:rPr>
                <w:b w:val="0"/>
                <w:sz w:val="19"/>
              </w:rPr>
              <w:t>26.22324</w:t>
            </w:r>
          </w:p>
        </w:tc>
        <w:tc>
          <w:tcPr>
            <w:tcW w:type="dxa" w:w="1584"/>
            <w:vAlign w:val="center"/>
          </w:tcPr>
          <w:p>
            <w:pPr>
              <w:spacing w:before="60" w:after="60" w:line="259" w:lineRule="auto"/>
            </w:pPr>
            <w:r>
              <w:rPr>
                <w:b w:val="0"/>
                <w:sz w:val="19"/>
              </w:rPr>
              <w:t>15.831</w:t>
            </w:r>
          </w:p>
        </w:tc>
      </w:tr>
      <w:tr>
        <w:trPr>
          <w:cantSplit/>
        </w:trPr>
        <w:tc>
          <w:tcPr>
            <w:tcW w:type="dxa" w:w="1728"/>
            <w:vAlign w:val="center"/>
          </w:tcPr>
          <w:p>
            <w:pPr>
              <w:spacing w:before="60" w:after="60" w:line="259" w:lineRule="auto"/>
            </w:pPr>
            <w:r>
              <w:rPr>
                <w:b w:val="0"/>
                <w:sz w:val="19"/>
              </w:rPr>
              <w:t>contest_joint</w:t>
            </w:r>
          </w:p>
        </w:tc>
        <w:tc>
          <w:tcPr>
            <w:tcW w:type="dxa" w:w="778"/>
            <w:vAlign w:val="center"/>
          </w:tcPr>
          <w:p>
            <w:pPr>
              <w:spacing w:before="60" w:after="60" w:line="259" w:lineRule="auto"/>
            </w:pPr>
            <w:r>
              <w:rPr>
                <w:b w:val="0"/>
                <w:sz w:val="19"/>
              </w:rPr>
              <w:t>15/80</w:t>
            </w:r>
          </w:p>
        </w:tc>
        <w:tc>
          <w:tcPr>
            <w:tcW w:type="dxa" w:w="1123"/>
            <w:vAlign w:val="center"/>
          </w:tcPr>
          <w:p>
            <w:pPr>
              <w:spacing w:before="60" w:after="60" w:line="259" w:lineRule="auto"/>
            </w:pPr>
            <w:r>
              <w:rPr>
                <w:b w:val="0"/>
                <w:sz w:val="19"/>
              </w:rPr>
              <w:t>23/3</w:t>
            </w:r>
          </w:p>
        </w:tc>
        <w:tc>
          <w:tcPr>
            <w:tcW w:type="dxa" w:w="1584"/>
            <w:vAlign w:val="center"/>
          </w:tcPr>
          <w:p>
            <w:pPr>
              <w:spacing w:before="60" w:after="60" w:line="259" w:lineRule="auto"/>
            </w:pPr>
            <w:r>
              <w:rPr>
                <w:b w:val="0"/>
                <w:sz w:val="19"/>
              </w:rPr>
              <w:t>6295.582</w:t>
            </w:r>
          </w:p>
        </w:tc>
        <w:tc>
          <w:tcPr>
            <w:tcW w:type="dxa" w:w="1584"/>
            <w:vAlign w:val="center"/>
          </w:tcPr>
          <w:p>
            <w:pPr>
              <w:spacing w:before="60" w:after="60" w:line="259" w:lineRule="auto"/>
            </w:pPr>
            <w:r>
              <w:rPr>
                <w:b w:val="0"/>
                <w:sz w:val="19"/>
              </w:rPr>
              <w:t>66.21446</w:t>
            </w:r>
          </w:p>
        </w:tc>
        <w:tc>
          <w:tcPr>
            <w:tcW w:type="dxa" w:w="1613"/>
            <w:vAlign w:val="center"/>
          </w:tcPr>
          <w:p>
            <w:pPr>
              <w:spacing w:before="60" w:after="60" w:line="259" w:lineRule="auto"/>
            </w:pPr>
            <w:r>
              <w:rPr>
                <w:b w:val="0"/>
                <w:sz w:val="19"/>
              </w:rPr>
              <w:t>69.40007</w:t>
            </w:r>
          </w:p>
        </w:tc>
        <w:tc>
          <w:tcPr>
            <w:tcW w:type="dxa" w:w="1584"/>
            <w:vAlign w:val="center"/>
          </w:tcPr>
          <w:p>
            <w:pPr>
              <w:spacing w:before="60" w:after="60" w:line="259" w:lineRule="auto"/>
            </w:pPr>
            <w:r>
              <w:rPr>
                <w:b w:val="0"/>
                <w:sz w:val="19"/>
              </w:rPr>
              <w:t>38.587</w:t>
            </w:r>
          </w:p>
        </w:tc>
      </w:tr>
    </w:tbl>
    <w:p>
      <w:pPr>
        <w:spacing w:after="20"/>
      </w:pPr>
    </w:p>
    <w:p>
      <w:r>
        <w:rPr>
          <w:b w:val="0"/>
        </w:rPr>
        <w:t>三个案例独立检查均passed。联合案例的模型内通信缺口为0；这不等于真实无线网络零失联。原题联合最低运输返航SOC约20.097%，不能把接近题设储备的结果写成有大幅现实安全余量。Job运行时间与用户从点击到看到结果的排队/预处理/网络全过程不完全相同。</w:t>
      </w:r>
    </w:p>
    <w:p>
      <w:r>
        <w:rPr>
          <w:b w:val="0"/>
        </w:rPr>
        <w:t>案例保留Snapshot、Plan、Job和独立Validation；索引给出文件hash与来源。部分原记录的服务源码指纹早于最终静态媒体修复，不能据此声称所有旧案例在最终服务版本上从头完整重跑；算法输入输出与V3复核范围按各记录解释。</w:t>
      </w:r>
    </w:p>
    <w:p>
      <w:pPr>
        <w:pStyle w:val="Heading2"/>
      </w:pPr>
      <w:r>
        <w:t>16.2 当前交付检查</w:t>
      </w:r>
    </w:p>
    <w:p>
      <w:r>
        <w:rPr>
          <w:b w:val="0"/>
        </w:rPr>
        <w:t>V3已有真实浏览器闭环：新建、检查、计算、安排表与导出、地形、确认、模拟交付、新增需求、残余修复、差异采纳和复盘。还检查了1440×900、1280×720、1024×768、深浅主题、字幕视频、静态媒体和原有任务只读展示。针对联合模板、Excel、执行边界、确认保护、媒体、运输守恒等有专项测试。</w:t>
      </w:r>
    </w:p>
    <w:p>
      <w:r>
        <w:rPr>
          <w:b w:val="0"/>
        </w:rPr>
        <w:t>准确命令、分批结果与失败修复见</w:t>
      </w:r>
      <w:r>
        <w:rPr>
          <w:rFonts w:ascii="Consolas" w:hAnsi="Consolas"/>
          <w:b w:val="0"/>
          <w:color w:val="234C54"/>
          <w:sz w:val="20"/>
        </w:rPr>
        <w:t>evidence/experience-v3/TEST_REPORT.md</w:t>
      </w:r>
      <w:r>
        <w:rPr>
          <w:b w:val="0"/>
        </w:rPr>
        <w:t>，不能把各历史版本通过数累加称为本轮全系统通过。用户要求基础和专项检查，本轮没有重新运行全部历史Python与浏览器长回归；真机/SITL和未完成研究更没有通过记录。</w:t>
      </w:r>
    </w:p>
    <w:p>
      <w:r>
        <w:rPr>
          <w:b w:val="0"/>
        </w:rPr>
        <w:t>升级时原有29份Plan、26份Snapshot原文hash保持一致，3个暂停执行实例保留，并有一致性备份。此数量是本机交付时数据保护记录，不是产品固定规模、GitHub下载自带的任务数量或用户之后继续使用时的实时数量。</w:t>
      </w:r>
    </w:p>
    <w:p>
      <w:pPr>
        <w:pStyle w:val="Heading1"/>
      </w:pPr>
      <w:r>
        <w:t>17 与最初开发方案的主要差异</w:t>
      </w:r>
    </w:p>
    <w:p>
      <w:r>
        <w:rPr>
          <w:b w:val="0"/>
        </w:rPr>
        <w:t>桌面原Word与仓库</w:t>
      </w:r>
      <w:r>
        <w:rPr>
          <w:rFonts w:ascii="Consolas" w:hAnsi="Consolas"/>
          <w:b w:val="0"/>
          <w:color w:val="234C54"/>
          <w:sz w:val="20"/>
        </w:rPr>
        <w:t>references/source/development-plan.docx</w:t>
      </w:r>
      <w:r>
        <w:rPr>
          <w:b w:val="0"/>
        </w:rPr>
        <w:t>内容hash相同，SHA256为</w:t>
      </w:r>
      <w:r>
        <w:rPr>
          <w:rFonts w:ascii="Consolas" w:hAnsi="Consolas"/>
          <w:b w:val="0"/>
          <w:color w:val="234C54"/>
          <w:sz w:val="20"/>
        </w:rPr>
        <w:t>1db25bbdd2b15a9840a57028ae4e348a33679d60156a0876f91b96e96aa029ca</w:t>
      </w:r>
      <w:r>
        <w:rPr>
          <w:b w:val="0"/>
        </w:rPr>
        <w:t>。原文是目标设计，本文是实际基线；原Word不覆盖、不替换。主要映射如下。</w:t>
      </w:r>
    </w:p>
    <w:tbl>
      <w:tblPr>
        <w:tblStyle w:val="TableGrid"/>
        <w:tblW w:type="auto" w:w="0"/>
        <w:jc w:val="center"/>
        <w:tblLayout w:type="fixed"/>
        <w:tblLook w:firstColumn="1" w:firstRow="1" w:lastColumn="0" w:lastRow="0" w:noHBand="0" w:noVBand="1" w:val="04A0"/>
      </w:tblPr>
      <w:tblGrid>
        <w:gridCol w:w="1728"/>
        <w:gridCol w:w="4032"/>
        <w:gridCol w:w="4234"/>
      </w:tblGrid>
      <w:tr>
        <w:trPr>
          <w:tblHeader/>
          <w:cantSplit/>
        </w:trPr>
        <w:tc>
          <w:tcPr>
            <w:tcW w:type="dxa" w:w="1728"/>
            <w:vAlign w:val="center"/>
            <w:shd w:fill="EAF0F0"/>
          </w:tcPr>
          <w:p>
            <w:pPr>
              <w:keepNext/>
              <w:spacing w:before="60" w:after="60" w:line="259" w:lineRule="auto"/>
            </w:pPr>
            <w:r>
              <w:rPr>
                <w:b/>
                <w:sz w:val="20"/>
              </w:rPr>
              <w:t>原方案设想</w:t>
            </w:r>
          </w:p>
        </w:tc>
        <w:tc>
          <w:tcPr>
            <w:tcW w:type="dxa" w:w="4032"/>
            <w:vAlign w:val="center"/>
            <w:shd w:fill="EAF0F0"/>
          </w:tcPr>
          <w:p>
            <w:pPr>
              <w:keepNext/>
              <w:spacing w:before="60" w:after="60" w:line="259" w:lineRule="auto"/>
            </w:pPr>
            <w:r>
              <w:rPr>
                <w:b/>
                <w:sz w:val="20"/>
              </w:rPr>
              <w:t>当前实际</w:t>
            </w:r>
          </w:p>
        </w:tc>
        <w:tc>
          <w:tcPr>
            <w:tcW w:type="dxa" w:w="4234"/>
            <w:vAlign w:val="center"/>
            <w:shd w:fill="EAF0F0"/>
          </w:tcPr>
          <w:p>
            <w:pPr>
              <w:keepNext/>
              <w:spacing w:before="60" w:after="60" w:line="259" w:lineRule="auto"/>
            </w:pPr>
            <w:r>
              <w:rPr>
                <w:b/>
                <w:sz w:val="20"/>
              </w:rPr>
              <w:t>后续材料口径</w:t>
            </w:r>
          </w:p>
        </w:tc>
      </w:tr>
      <w:tr>
        <w:trPr>
          <w:cantSplit/>
        </w:trPr>
        <w:tc>
          <w:tcPr>
            <w:tcW w:type="dxa" w:w="1728"/>
            <w:vAlign w:val="center"/>
          </w:tcPr>
          <w:p>
            <w:pPr>
              <w:spacing w:before="60" w:after="60" w:line="259" w:lineRule="auto"/>
            </w:pPr>
            <w:r>
              <w:rPr>
                <w:b w:val="0"/>
                <w:sz w:val="20"/>
              </w:rPr>
              <w:t>三页工作台与按日期开发</w:t>
            </w:r>
          </w:p>
        </w:tc>
        <w:tc>
          <w:tcPr>
            <w:tcW w:type="dxa" w:w="4032"/>
            <w:vAlign w:val="center"/>
          </w:tcPr>
          <w:p>
            <w:pPr>
              <w:spacing w:before="60" w:after="60" w:line="259" w:lineRule="auto"/>
            </w:pPr>
            <w:r>
              <w:rPr>
                <w:b w:val="0"/>
                <w:sz w:val="20"/>
              </w:rPr>
              <w:t>四阶段任务空间＋独立首页/资源/评测/帮助</w:t>
            </w:r>
          </w:p>
        </w:tc>
        <w:tc>
          <w:tcPr>
            <w:tcW w:type="dxa" w:w="4234"/>
            <w:vAlign w:val="center"/>
          </w:tcPr>
          <w:p>
            <w:pPr>
              <w:spacing w:before="60" w:after="60" w:line="259" w:lineRule="auto"/>
            </w:pPr>
            <w:r>
              <w:rPr>
                <w:b w:val="0"/>
                <w:sz w:val="20"/>
              </w:rPr>
              <w:t>使用当前流程，不把旧时间表当状态</w:t>
            </w:r>
          </w:p>
        </w:tc>
      </w:tr>
      <w:tr>
        <w:trPr>
          <w:cantSplit/>
        </w:trPr>
        <w:tc>
          <w:tcPr>
            <w:tcW w:type="dxa" w:w="1728"/>
            <w:vAlign w:val="center"/>
          </w:tcPr>
          <w:p>
            <w:pPr>
              <w:spacing w:before="60" w:after="60" w:line="259" w:lineRule="auto"/>
            </w:pPr>
            <w:r>
              <w:rPr>
                <w:b w:val="0"/>
                <w:sz w:val="20"/>
              </w:rPr>
              <w:t>三人分工</w:t>
            </w:r>
          </w:p>
        </w:tc>
        <w:tc>
          <w:tcPr>
            <w:tcW w:type="dxa" w:w="4032"/>
            <w:vAlign w:val="center"/>
          </w:tcPr>
          <w:p>
            <w:pPr>
              <w:spacing w:before="60" w:after="60" w:line="259" w:lineRule="auto"/>
            </w:pPr>
            <w:r>
              <w:rPr>
                <w:b w:val="0"/>
                <w:sz w:val="20"/>
              </w:rPr>
              <w:t>两人，A算法兼负责人，B前后端与集成</w:t>
            </w:r>
          </w:p>
        </w:tc>
        <w:tc>
          <w:tcPr>
            <w:tcW w:type="dxa" w:w="4234"/>
            <w:vAlign w:val="center"/>
          </w:tcPr>
          <w:p>
            <w:pPr>
              <w:spacing w:before="60" w:after="60" w:line="259" w:lineRule="auto"/>
            </w:pPr>
            <w:r>
              <w:rPr>
                <w:b w:val="0"/>
                <w:sz w:val="20"/>
              </w:rPr>
              <w:t>历史C-*任务也由B承担</w:t>
            </w:r>
          </w:p>
        </w:tc>
      </w:tr>
      <w:tr>
        <w:trPr>
          <w:cantSplit/>
        </w:trPr>
        <w:tc>
          <w:tcPr>
            <w:tcW w:type="dxa" w:w="1728"/>
            <w:vAlign w:val="center"/>
          </w:tcPr>
          <w:p>
            <w:pPr>
              <w:spacing w:before="60" w:after="60" w:line="259" w:lineRule="auto"/>
            </w:pPr>
            <w:r>
              <w:rPr>
                <w:b w:val="0"/>
                <w:sz w:val="20"/>
              </w:rPr>
              <w:t>成本、均衡保障、余量等多目标</w:t>
            </w:r>
          </w:p>
        </w:tc>
        <w:tc>
          <w:tcPr>
            <w:tcW w:type="dxa" w:w="4032"/>
            <w:vAlign w:val="center"/>
          </w:tcPr>
          <w:p>
            <w:pPr>
              <w:spacing w:before="60" w:after="60" w:line="259" w:lineRule="auto"/>
            </w:pPr>
            <w:r>
              <w:rPr>
                <w:b w:val="0"/>
                <w:sz w:val="20"/>
              </w:rPr>
              <w:t>时间、能源、时间能源折中；v1/v2明确区分</w:t>
            </w:r>
          </w:p>
        </w:tc>
        <w:tc>
          <w:tcPr>
            <w:tcW w:type="dxa" w:w="4234"/>
            <w:vAlign w:val="center"/>
          </w:tcPr>
          <w:p>
            <w:pPr>
              <w:spacing w:before="60" w:after="60" w:line="259" w:lineRule="auto"/>
            </w:pPr>
            <w:r>
              <w:rPr>
                <w:b w:val="0"/>
                <w:sz w:val="20"/>
              </w:rPr>
              <w:t>不将折中称公平，不输出无费率人民币</w:t>
            </w:r>
          </w:p>
        </w:tc>
      </w:tr>
      <w:tr>
        <w:trPr>
          <w:cantSplit/>
        </w:trPr>
        <w:tc>
          <w:tcPr>
            <w:tcW w:type="dxa" w:w="1728"/>
            <w:vAlign w:val="center"/>
          </w:tcPr>
          <w:p>
            <w:pPr>
              <w:spacing w:before="60" w:after="60" w:line="259" w:lineRule="auto"/>
            </w:pPr>
            <w:r>
              <w:rPr>
                <w:b w:val="0"/>
                <w:sz w:val="20"/>
              </w:rPr>
              <w:t>允许部分保障建议</w:t>
            </w:r>
          </w:p>
        </w:tc>
        <w:tc>
          <w:tcPr>
            <w:tcW w:type="dxa" w:w="4032"/>
            <w:vAlign w:val="center"/>
          </w:tcPr>
          <w:p>
            <w:pPr>
              <w:spacing w:before="60" w:after="60" w:line="259" w:lineRule="auto"/>
            </w:pPr>
            <w:r>
              <w:rPr>
                <w:b w:val="0"/>
                <w:sz w:val="20"/>
              </w:rPr>
              <w:t>正式求解完整保障，partial service关闭</w:t>
            </w:r>
          </w:p>
        </w:tc>
        <w:tc>
          <w:tcPr>
            <w:tcW w:type="dxa" w:w="4234"/>
            <w:vAlign w:val="center"/>
          </w:tcPr>
          <w:p>
            <w:pPr>
              <w:spacing w:before="60" w:after="60" w:line="259" w:lineRule="auto"/>
            </w:pPr>
            <w:r>
              <w:rPr>
                <w:b w:val="0"/>
                <w:sz w:val="20"/>
              </w:rPr>
              <w:t>未找到完整方案返回准确状态</w:t>
            </w:r>
          </w:p>
        </w:tc>
      </w:tr>
      <w:tr>
        <w:trPr>
          <w:cantSplit/>
        </w:trPr>
        <w:tc>
          <w:tcPr>
            <w:tcW w:type="dxa" w:w="1728"/>
            <w:vAlign w:val="center"/>
          </w:tcPr>
          <w:p>
            <w:pPr>
              <w:spacing w:before="60" w:after="60" w:line="259" w:lineRule="auto"/>
            </w:pPr>
            <w:r>
              <w:rPr>
                <w:b w:val="0"/>
                <w:sz w:val="20"/>
              </w:rPr>
              <w:t>直线/A*等多路线可能路线</w:t>
            </w:r>
          </w:p>
        </w:tc>
        <w:tc>
          <w:tcPr>
            <w:tcW w:type="dxa" w:w="4032"/>
            <w:vAlign w:val="center"/>
          </w:tcPr>
          <w:p>
            <w:pPr>
              <w:spacing w:before="60" w:after="60" w:line="259" w:lineRule="auto"/>
            </w:pPr>
            <w:r>
              <w:rPr>
                <w:b w:val="0"/>
                <w:sz w:val="20"/>
              </w:rPr>
              <w:t>静态可见图绕行＋题设升降；有限候选</w:t>
            </w:r>
          </w:p>
        </w:tc>
        <w:tc>
          <w:tcPr>
            <w:tcW w:type="dxa" w:w="4234"/>
            <w:vAlign w:val="center"/>
          </w:tcPr>
          <w:p>
            <w:pPr>
              <w:spacing w:before="60" w:after="60" w:line="259" w:lineRule="auto"/>
            </w:pPr>
            <w:r>
              <w:rPr>
                <w:b w:val="0"/>
                <w:sz w:val="20"/>
              </w:rPr>
              <w:t>不声称通用三维最短路</w:t>
            </w:r>
          </w:p>
        </w:tc>
      </w:tr>
      <w:tr>
        <w:trPr>
          <w:cantSplit/>
        </w:trPr>
        <w:tc>
          <w:tcPr>
            <w:tcW w:type="dxa" w:w="1728"/>
            <w:vAlign w:val="center"/>
          </w:tcPr>
          <w:p>
            <w:pPr>
              <w:spacing w:before="60" w:after="60" w:line="259" w:lineRule="auto"/>
            </w:pPr>
            <w:r>
              <w:rPr>
                <w:b w:val="0"/>
                <w:sz w:val="20"/>
              </w:rPr>
              <w:t>全链路依赖和变更代价优化</w:t>
            </w:r>
          </w:p>
        </w:tc>
        <w:tc>
          <w:tcPr>
            <w:tcW w:type="dxa" w:w="4032"/>
            <w:vAlign w:val="center"/>
          </w:tcPr>
          <w:p>
            <w:pPr>
              <w:spacing w:before="60" w:after="60" w:line="259" w:lineRule="auto"/>
            </w:pPr>
            <w:r>
              <w:rPr>
                <w:b w:val="0"/>
                <w:sz w:val="20"/>
              </w:rPr>
              <w:t>机体/运输电池依赖闭包、保留候选、全量回退和实际差异</w:t>
            </w:r>
          </w:p>
        </w:tc>
        <w:tc>
          <w:tcPr>
            <w:tcW w:type="dxa" w:w="4234"/>
            <w:vAlign w:val="center"/>
          </w:tcPr>
          <w:p>
            <w:pPr>
              <w:spacing w:before="60" w:after="60" w:line="259" w:lineRule="auto"/>
            </w:pPr>
            <w:r>
              <w:rPr>
                <w:b w:val="0"/>
                <w:sz w:val="20"/>
              </w:rPr>
              <w:t>未完成所有通信依赖图或全局最小变更证明</w:t>
            </w:r>
          </w:p>
        </w:tc>
      </w:tr>
      <w:tr>
        <w:trPr>
          <w:cantSplit/>
        </w:trPr>
        <w:tc>
          <w:tcPr>
            <w:tcW w:type="dxa" w:w="1728"/>
            <w:vAlign w:val="center"/>
          </w:tcPr>
          <w:p>
            <w:pPr>
              <w:spacing w:before="60" w:after="60" w:line="259" w:lineRule="auto"/>
            </w:pPr>
            <w:r>
              <w:rPr>
                <w:b w:val="0"/>
                <w:sz w:val="20"/>
              </w:rPr>
              <w:t>任意在途变化</w:t>
            </w:r>
          </w:p>
        </w:tc>
        <w:tc>
          <w:tcPr>
            <w:tcW w:type="dxa" w:w="4032"/>
            <w:vAlign w:val="center"/>
          </w:tcPr>
          <w:p>
            <w:pPr>
              <w:spacing w:before="60" w:after="60" w:line="259" w:lineRule="auto"/>
            </w:pPr>
            <w:r>
              <w:rPr>
                <w:b w:val="0"/>
                <w:sz w:val="20"/>
              </w:rPr>
              <w:t>保留已开始完整架次，运输残余重排</w:t>
            </w:r>
          </w:p>
        </w:tc>
        <w:tc>
          <w:tcPr>
            <w:tcW w:type="dxa" w:w="4234"/>
            <w:vAlign w:val="center"/>
          </w:tcPr>
          <w:p>
            <w:pPr>
              <w:spacing w:before="60" w:after="60" w:line="259" w:lineRule="auto"/>
            </w:pPr>
            <w:r>
              <w:rPr>
                <w:b w:val="0"/>
                <w:sz w:val="20"/>
              </w:rPr>
              <w:t>不声称在飞机体自主改航或跨机转货</w:t>
            </w:r>
          </w:p>
        </w:tc>
      </w:tr>
      <w:tr>
        <w:trPr>
          <w:cantSplit/>
        </w:trPr>
        <w:tc>
          <w:tcPr>
            <w:tcW w:type="dxa" w:w="1728"/>
            <w:vAlign w:val="center"/>
          </w:tcPr>
          <w:p>
            <w:pPr>
              <w:spacing w:before="60" w:after="60" w:line="259" w:lineRule="auto"/>
            </w:pPr>
            <w:r>
              <w:rPr>
                <w:b w:val="0"/>
                <w:sz w:val="20"/>
              </w:rPr>
              <w:t>中继全过程保障</w:t>
            </w:r>
          </w:p>
        </w:tc>
        <w:tc>
          <w:tcPr>
            <w:tcW w:type="dxa" w:w="4032"/>
            <w:vAlign w:val="center"/>
          </w:tcPr>
          <w:p>
            <w:pPr>
              <w:spacing w:before="60" w:after="60" w:line="259" w:lineRule="auto"/>
            </w:pPr>
            <w:r>
              <w:rPr>
                <w:b w:val="0"/>
                <w:sz w:val="20"/>
              </w:rPr>
              <w:t>已有有限模型连续窗口检查和联合计划</w:t>
            </w:r>
          </w:p>
        </w:tc>
        <w:tc>
          <w:tcPr>
            <w:tcW w:type="dxa" w:w="4234"/>
            <w:vAlign w:val="center"/>
          </w:tcPr>
          <w:p>
            <w:pPr>
              <w:spacing w:before="60" w:after="60" w:line="259" w:lineRule="auto"/>
            </w:pPr>
            <w:r>
              <w:rPr>
                <w:b w:val="0"/>
                <w:sz w:val="20"/>
              </w:rPr>
              <w:t>执行中联合通信修复仍未完成</w:t>
            </w:r>
          </w:p>
        </w:tc>
      </w:tr>
      <w:tr>
        <w:trPr>
          <w:cantSplit/>
        </w:trPr>
        <w:tc>
          <w:tcPr>
            <w:tcW w:type="dxa" w:w="1728"/>
            <w:vAlign w:val="center"/>
          </w:tcPr>
          <w:p>
            <w:pPr>
              <w:spacing w:before="60" w:after="60" w:line="259" w:lineRule="auto"/>
            </w:pPr>
            <w:r>
              <w:rPr>
                <w:b w:val="0"/>
                <w:sz w:val="20"/>
              </w:rPr>
              <w:t>余量/鲁棒与CVaR</w:t>
            </w:r>
          </w:p>
        </w:tc>
        <w:tc>
          <w:tcPr>
            <w:tcW w:type="dxa" w:w="4032"/>
            <w:vAlign w:val="center"/>
          </w:tcPr>
          <w:p>
            <w:pPr>
              <w:spacing w:before="60" w:after="60" w:line="259" w:lineRule="auto"/>
            </w:pPr>
            <w:r>
              <w:rPr>
                <w:b w:val="0"/>
                <w:sz w:val="20"/>
              </w:rPr>
              <w:t>明确参数、确定性压力试算，人工气象W1</w:t>
            </w:r>
          </w:p>
        </w:tc>
        <w:tc>
          <w:tcPr>
            <w:tcW w:type="dxa" w:w="4234"/>
            <w:vAlign w:val="center"/>
          </w:tcPr>
          <w:p>
            <w:pPr>
              <w:spacing w:before="60" w:after="60" w:line="259" w:lineRule="auto"/>
            </w:pPr>
            <w:r>
              <w:rPr>
                <w:b w:val="0"/>
                <w:sz w:val="20"/>
              </w:rPr>
              <w:t>不称概率安全保证或完整鲁棒优化</w:t>
            </w:r>
          </w:p>
        </w:tc>
      </w:tr>
      <w:tr>
        <w:trPr>
          <w:cantSplit/>
        </w:trPr>
        <w:tc>
          <w:tcPr>
            <w:tcW w:type="dxa" w:w="1728"/>
            <w:vAlign w:val="center"/>
          </w:tcPr>
          <w:p>
            <w:pPr>
              <w:spacing w:before="60" w:after="60" w:line="259" w:lineRule="auto"/>
            </w:pPr>
            <w:r>
              <w:rPr>
                <w:b w:val="0"/>
                <w:sz w:val="20"/>
              </w:rPr>
              <w:t>学习辅助邻域选择/预测</w:t>
            </w:r>
          </w:p>
        </w:tc>
        <w:tc>
          <w:tcPr>
            <w:tcW w:type="dxa" w:w="4032"/>
            <w:vAlign w:val="center"/>
          </w:tcPr>
          <w:p>
            <w:pPr>
              <w:spacing w:before="60" w:after="60" w:line="259" w:lineRule="auto"/>
            </w:pPr>
            <w:r>
              <w:rPr>
                <w:b w:val="0"/>
                <w:sz w:val="20"/>
              </w:rPr>
              <w:t>尚无训练部署与消融</w:t>
            </w:r>
          </w:p>
        </w:tc>
        <w:tc>
          <w:tcPr>
            <w:tcW w:type="dxa" w:w="4234"/>
            <w:vAlign w:val="center"/>
          </w:tcPr>
          <w:p>
            <w:pPr>
              <w:spacing w:before="60" w:after="60" w:line="259" w:lineRule="auto"/>
            </w:pPr>
            <w:r>
              <w:rPr>
                <w:b w:val="0"/>
                <w:sz w:val="20"/>
              </w:rPr>
              <w:t>写研究方向，不写AI优化已完成</w:t>
            </w:r>
          </w:p>
        </w:tc>
      </w:tr>
      <w:tr>
        <w:trPr>
          <w:cantSplit/>
        </w:trPr>
        <w:tc>
          <w:tcPr>
            <w:tcW w:type="dxa" w:w="1728"/>
            <w:vAlign w:val="center"/>
          </w:tcPr>
          <w:p>
            <w:pPr>
              <w:spacing w:before="60" w:after="60" w:line="259" w:lineRule="auto"/>
            </w:pPr>
            <w:r>
              <w:rPr>
                <w:b w:val="0"/>
                <w:sz w:val="20"/>
              </w:rPr>
              <w:t>实时天气影响能源</w:t>
            </w:r>
          </w:p>
        </w:tc>
        <w:tc>
          <w:tcPr>
            <w:tcW w:type="dxa" w:w="4032"/>
            <w:vAlign w:val="center"/>
          </w:tcPr>
          <w:p>
            <w:pPr>
              <w:spacing w:before="60" w:after="60" w:line="259" w:lineRule="auto"/>
            </w:pPr>
            <w:r>
              <w:rPr>
                <w:b w:val="0"/>
                <w:sz w:val="20"/>
              </w:rPr>
              <w:t>人工来源、机型阈值、有效窗口进入快速运输与适用修复</w:t>
            </w:r>
          </w:p>
        </w:tc>
        <w:tc>
          <w:tcPr>
            <w:tcW w:type="dxa" w:w="4234"/>
            <w:vAlign w:val="center"/>
          </w:tcPr>
          <w:p>
            <w:pPr>
              <w:spacing w:before="60" w:after="60" w:line="259" w:lineRule="auto"/>
            </w:pPr>
            <w:r>
              <w:rPr>
                <w:b w:val="0"/>
                <w:sz w:val="20"/>
              </w:rPr>
              <w:t>未建风致动力学/能耗；W1与improve/联合组合不支持</w:t>
            </w:r>
          </w:p>
        </w:tc>
      </w:tr>
      <w:tr>
        <w:trPr>
          <w:cantSplit/>
        </w:trPr>
        <w:tc>
          <w:tcPr>
            <w:tcW w:type="dxa" w:w="1728"/>
            <w:vAlign w:val="center"/>
          </w:tcPr>
          <w:p>
            <w:pPr>
              <w:spacing w:before="60" w:after="60" w:line="259" w:lineRule="auto"/>
            </w:pPr>
            <w:r>
              <w:rPr>
                <w:b w:val="0"/>
                <w:sz w:val="20"/>
              </w:rPr>
              <w:t>充电、总电力、人员、起降位</w:t>
            </w:r>
          </w:p>
        </w:tc>
        <w:tc>
          <w:tcPr>
            <w:tcW w:type="dxa" w:w="4032"/>
            <w:vAlign w:val="center"/>
          </w:tcPr>
          <w:p>
            <w:pPr>
              <w:spacing w:before="60" w:after="60" w:line="259" w:lineRule="auto"/>
            </w:pPr>
            <w:r>
              <w:rPr>
                <w:b w:val="0"/>
                <w:sz w:val="20"/>
              </w:rPr>
              <w:t>电池SOH/初始SOC、准备工位/充电端口</w:t>
            </w:r>
          </w:p>
        </w:tc>
        <w:tc>
          <w:tcPr>
            <w:tcW w:type="dxa" w:w="4234"/>
            <w:vAlign w:val="center"/>
          </w:tcPr>
          <w:p>
            <w:pPr>
              <w:spacing w:before="60" w:after="60" w:line="259" w:lineRule="auto"/>
            </w:pPr>
            <w:r>
              <w:rPr>
                <w:b w:val="0"/>
                <w:sz w:val="20"/>
              </w:rPr>
              <w:t>未实现统一总功率、所有人员/起降/避碰约束</w:t>
            </w:r>
          </w:p>
        </w:tc>
      </w:tr>
      <w:tr>
        <w:trPr>
          <w:cantSplit/>
        </w:trPr>
        <w:tc>
          <w:tcPr>
            <w:tcW w:type="dxa" w:w="1728"/>
            <w:vAlign w:val="center"/>
          </w:tcPr>
          <w:p>
            <w:pPr>
              <w:spacing w:before="60" w:after="60" w:line="259" w:lineRule="auto"/>
            </w:pPr>
            <w:r>
              <w:rPr>
                <w:b w:val="0"/>
                <w:sz w:val="20"/>
              </w:rPr>
              <w:t>航拍到地图自动更新</w:t>
            </w:r>
          </w:p>
        </w:tc>
        <w:tc>
          <w:tcPr>
            <w:tcW w:type="dxa" w:w="4032"/>
            <w:vAlign w:val="center"/>
          </w:tcPr>
          <w:p>
            <w:pPr>
              <w:spacing w:before="60" w:after="60" w:line="259" w:lineRule="auto"/>
            </w:pPr>
            <w:r>
              <w:rPr>
                <w:b w:val="0"/>
                <w:sz w:val="20"/>
              </w:rPr>
              <w:t>本地GeoTIFF、不可变资产、导入包与地图上下文</w:t>
            </w:r>
          </w:p>
        </w:tc>
        <w:tc>
          <w:tcPr>
            <w:tcW w:type="dxa" w:w="4234"/>
            <w:vAlign w:val="center"/>
          </w:tcPr>
          <w:p>
            <w:pPr>
              <w:spacing w:before="60" w:after="60" w:line="259" w:lineRule="auto"/>
            </w:pPr>
            <w:r>
              <w:rPr>
                <w:b w:val="0"/>
                <w:sz w:val="20"/>
              </w:rPr>
              <w:t>ODM/航片重建尚未接入</w:t>
            </w:r>
          </w:p>
        </w:tc>
      </w:tr>
      <w:tr>
        <w:trPr>
          <w:cantSplit/>
        </w:trPr>
        <w:tc>
          <w:tcPr>
            <w:tcW w:type="dxa" w:w="1728"/>
            <w:vAlign w:val="center"/>
          </w:tcPr>
          <w:p>
            <w:pPr>
              <w:spacing w:before="60" w:after="60" w:line="259" w:lineRule="auto"/>
            </w:pPr>
            <w:r>
              <w:rPr>
                <w:b w:val="0"/>
                <w:sz w:val="20"/>
              </w:rPr>
              <w:t>多人协同与实际设备</w:t>
            </w:r>
          </w:p>
        </w:tc>
        <w:tc>
          <w:tcPr>
            <w:tcW w:type="dxa" w:w="4032"/>
            <w:vAlign w:val="center"/>
          </w:tcPr>
          <w:p>
            <w:pPr>
              <w:spacing w:before="60" w:after="60" w:line="259" w:lineRule="auto"/>
            </w:pPr>
            <w:r>
              <w:rPr>
                <w:b w:val="0"/>
                <w:sz w:val="20"/>
              </w:rPr>
              <w:t>单机应用、本浏览器资料、服务器模拟Adapter</w:t>
            </w:r>
          </w:p>
        </w:tc>
        <w:tc>
          <w:tcPr>
            <w:tcW w:type="dxa" w:w="4234"/>
            <w:vAlign w:val="center"/>
          </w:tcPr>
          <w:p>
            <w:pPr>
              <w:spacing w:before="60" w:after="60" w:line="259" w:lineRule="auto"/>
            </w:pPr>
            <w:r>
              <w:rPr>
                <w:b w:val="0"/>
                <w:sz w:val="20"/>
              </w:rPr>
              <w:t>无多用户认证、真机、厂商接口、SITL</w:t>
            </w:r>
          </w:p>
        </w:tc>
      </w:tr>
      <w:tr>
        <w:trPr>
          <w:cantSplit/>
        </w:trPr>
        <w:tc>
          <w:tcPr>
            <w:tcW w:type="dxa" w:w="1728"/>
            <w:vAlign w:val="center"/>
          </w:tcPr>
          <w:p>
            <w:pPr>
              <w:spacing w:before="60" w:after="60" w:line="259" w:lineRule="auto"/>
            </w:pPr>
            <w:r>
              <w:rPr>
                <w:b w:val="0"/>
                <w:sz w:val="20"/>
              </w:rPr>
              <w:t>未来规划接口示意</w:t>
            </w:r>
          </w:p>
        </w:tc>
        <w:tc>
          <w:tcPr>
            <w:tcW w:type="dxa" w:w="4032"/>
            <w:vAlign w:val="center"/>
          </w:tcPr>
          <w:p>
            <w:pPr>
              <w:spacing w:before="60" w:after="60" w:line="259" w:lineRule="auto"/>
            </w:pPr>
            <w:r>
              <w:rPr>
                <w:b w:val="0"/>
                <w:sz w:val="20"/>
              </w:rPr>
              <w:t>V4实际91路径模板，名称按实际OpenAPI</w:t>
            </w:r>
          </w:p>
        </w:tc>
        <w:tc>
          <w:tcPr>
            <w:tcW w:type="dxa" w:w="4234"/>
            <w:vAlign w:val="center"/>
          </w:tcPr>
          <w:p>
            <w:pPr>
              <w:spacing w:before="60" w:after="60" w:line="259" w:lineRule="auto"/>
            </w:pPr>
            <w:r>
              <w:rPr>
                <w:b w:val="0"/>
                <w:sz w:val="20"/>
              </w:rPr>
              <w:t>不直接复制原Word附录伪字段</w:t>
            </w:r>
          </w:p>
        </w:tc>
      </w:tr>
      <w:tr>
        <w:trPr>
          <w:cantSplit/>
        </w:trPr>
        <w:tc>
          <w:tcPr>
            <w:tcW w:type="dxa" w:w="1728"/>
            <w:vAlign w:val="center"/>
          </w:tcPr>
          <w:p>
            <w:pPr>
              <w:spacing w:before="60" w:after="60" w:line="259" w:lineRule="auto"/>
            </w:pPr>
            <w:r>
              <w:rPr>
                <w:b w:val="0"/>
                <w:sz w:val="20"/>
              </w:rPr>
              <w:t>原论文最好结果用于参照</w:t>
            </w:r>
          </w:p>
        </w:tc>
        <w:tc>
          <w:tcPr>
            <w:tcW w:type="dxa" w:w="4032"/>
            <w:vAlign w:val="center"/>
          </w:tcPr>
          <w:p>
            <w:pPr>
              <w:spacing w:before="60" w:after="60" w:line="259" w:lineRule="auto"/>
            </w:pPr>
            <w:r>
              <w:rPr>
                <w:b w:val="0"/>
                <w:sz w:val="20"/>
              </w:rPr>
              <w:t>当前真实案例、原题候选重新计算与检查</w:t>
            </w:r>
          </w:p>
        </w:tc>
        <w:tc>
          <w:tcPr>
            <w:tcW w:type="dxa" w:w="4234"/>
            <w:vAlign w:val="center"/>
          </w:tcPr>
          <w:p>
            <w:pPr>
              <w:spacing w:before="60" w:after="60" w:line="259" w:lineRule="auto"/>
            </w:pPr>
            <w:r>
              <w:rPr>
                <w:b w:val="0"/>
                <w:sz w:val="20"/>
              </w:rPr>
              <w:t>历史长搜索结果不冒充现场新求解</w:t>
            </w:r>
          </w:p>
        </w:tc>
      </w:tr>
    </w:tbl>
    <w:p>
      <w:pPr>
        <w:spacing w:after="20"/>
      </w:pPr>
    </w:p>
    <w:p>
      <w:pPr>
        <w:pStyle w:val="Heading1"/>
      </w:pPr>
      <w:r>
        <w:t>18 可用于申报材料的项目与创新表述</w:t>
      </w:r>
    </w:p>
    <w:p>
      <w:pPr>
        <w:pStyle w:val="Heading2"/>
      </w:pPr>
      <w:r>
        <w:t>18.1 项目简介素材</w:t>
      </w:r>
    </w:p>
    <w:p>
      <w:r>
        <w:rPr>
          <w:b w:val="0"/>
        </w:rPr>
        <w:t>援航面向道路受阻条件下的应急物资运输，将需求、逐箱库存、异构无人机、独立电池、地形与通信资源组织为统一的可追溯调度输入。系统通过限时构造、有限候选优化和独立约束重建，输出具体到架次、箱件、设备和时刻的运输及中继安排；通过地图、地形剖面、资源时间轴和独立任务表帮助调度人员核对方案。任务执行采用服务器业务仿真，条件变化时冻结已发生事实和已开始架次，再对剩余任务计算、比较并采纳调整，最后保留完整复盘与导出记录。</w:t>
      </w:r>
    </w:p>
    <w:p>
      <w:pPr>
        <w:pStyle w:val="Heading2"/>
      </w:pPr>
      <w:r>
        <w:t>18.2 当前能支撑的贡献点</w:t>
      </w:r>
    </w:p>
    <w:tbl>
      <w:tblPr>
        <w:tblStyle w:val="TableGrid"/>
        <w:tblW w:type="auto" w:w="0"/>
        <w:jc w:val="center"/>
        <w:tblLayout w:type="fixed"/>
        <w:tblLook w:firstColumn="1" w:firstRow="1" w:lastColumn="0" w:lastRow="0" w:noHBand="0" w:noVBand="1" w:val="04A0"/>
      </w:tblPr>
      <w:tblGrid>
        <w:gridCol w:w="1728"/>
        <w:gridCol w:w="4032"/>
        <w:gridCol w:w="4234"/>
      </w:tblGrid>
      <w:tr>
        <w:trPr>
          <w:tblHeader/>
          <w:cantSplit/>
        </w:trPr>
        <w:tc>
          <w:tcPr>
            <w:tcW w:type="dxa" w:w="1728"/>
            <w:vAlign w:val="center"/>
            <w:shd w:fill="EAF0F0"/>
          </w:tcPr>
          <w:p>
            <w:pPr>
              <w:keepNext/>
              <w:spacing w:before="60" w:after="60" w:line="259" w:lineRule="auto"/>
            </w:pPr>
            <w:r>
              <w:rPr>
                <w:b/>
                <w:sz w:val="20"/>
              </w:rPr>
              <w:t>可表述的贡献</w:t>
            </w:r>
          </w:p>
        </w:tc>
        <w:tc>
          <w:tcPr>
            <w:tcW w:type="dxa" w:w="4032"/>
            <w:vAlign w:val="center"/>
            <w:shd w:fill="EAF0F0"/>
          </w:tcPr>
          <w:p>
            <w:pPr>
              <w:keepNext/>
              <w:spacing w:before="60" w:after="60" w:line="259" w:lineRule="auto"/>
            </w:pPr>
            <w:r>
              <w:rPr>
                <w:b/>
                <w:sz w:val="20"/>
              </w:rPr>
              <w:t>已落地内容</w:t>
            </w:r>
          </w:p>
        </w:tc>
        <w:tc>
          <w:tcPr>
            <w:tcW w:type="dxa" w:w="4234"/>
            <w:vAlign w:val="center"/>
            <w:shd w:fill="EAF0F0"/>
          </w:tcPr>
          <w:p>
            <w:pPr>
              <w:keepNext/>
              <w:spacing w:before="60" w:after="60" w:line="259" w:lineRule="auto"/>
            </w:pPr>
            <w:r>
              <w:rPr>
                <w:b/>
                <w:sz w:val="20"/>
              </w:rPr>
              <w:t>证据与必须保留的限定</w:t>
            </w:r>
          </w:p>
        </w:tc>
      </w:tr>
      <w:tr>
        <w:trPr>
          <w:cantSplit/>
        </w:trPr>
        <w:tc>
          <w:tcPr>
            <w:tcW w:type="dxa" w:w="1728"/>
            <w:vAlign w:val="center"/>
          </w:tcPr>
          <w:p>
            <w:pPr>
              <w:spacing w:before="60" w:after="60" w:line="259" w:lineRule="auto"/>
            </w:pPr>
            <w:r>
              <w:rPr>
                <w:b w:val="0"/>
                <w:sz w:val="20"/>
              </w:rPr>
              <w:t>面向执行连续性的资源依赖修复</w:t>
            </w:r>
          </w:p>
        </w:tc>
        <w:tc>
          <w:tcPr>
            <w:tcW w:type="dxa" w:w="4032"/>
            <w:vAlign w:val="center"/>
          </w:tcPr>
          <w:p>
            <w:pPr>
              <w:spacing w:before="60" w:after="60" w:line="259" w:lineRule="auto"/>
            </w:pPr>
            <w:r>
              <w:rPr>
                <w:b w:val="0"/>
                <w:sz w:val="20"/>
              </w:rPr>
              <w:t>直接影响、机体/电池后继闭包、未受影响任务保留、预算内回退、冻结承诺</w:t>
            </w:r>
          </w:p>
        </w:tc>
        <w:tc>
          <w:tcPr>
            <w:tcW w:type="dxa" w:w="4234"/>
            <w:vAlign w:val="center"/>
          </w:tcPr>
          <w:p>
            <w:pPr>
              <w:spacing w:before="60" w:after="60" w:line="259" w:lineRule="auto"/>
            </w:pPr>
            <w:r>
              <w:rPr>
                <w:b w:val="0"/>
                <w:sz w:val="20"/>
              </w:rPr>
              <w:t>dependencies、execution_repair、Reference与方法对照；限受支持运输条件，不保证总是优于全量</w:t>
            </w:r>
          </w:p>
        </w:tc>
      </w:tr>
      <w:tr>
        <w:trPr>
          <w:cantSplit/>
        </w:trPr>
        <w:tc>
          <w:tcPr>
            <w:tcW w:type="dxa" w:w="1728"/>
            <w:vAlign w:val="center"/>
          </w:tcPr>
          <w:p>
            <w:pPr>
              <w:spacing w:before="60" w:after="60" w:line="259" w:lineRule="auto"/>
            </w:pPr>
            <w:r>
              <w:rPr>
                <w:b w:val="0"/>
                <w:sz w:val="20"/>
              </w:rPr>
              <w:t>地形与通信耦合的运输保障</w:t>
            </w:r>
          </w:p>
        </w:tc>
        <w:tc>
          <w:tcPr>
            <w:tcW w:type="dxa" w:w="4032"/>
            <w:vAlign w:val="center"/>
          </w:tcPr>
          <w:p>
            <w:pPr>
              <w:spacing w:before="60" w:after="60" w:line="259" w:lineRule="auto"/>
            </w:pPr>
            <w:r>
              <w:rPr>
                <w:b w:val="0"/>
                <w:sz w:val="20"/>
              </w:rPr>
              <w:t>原始DEM净空、升降与能源、双向两跳链路、中继窗口和能源排程</w:t>
            </w:r>
          </w:p>
        </w:tc>
        <w:tc>
          <w:tcPr>
            <w:tcW w:type="dxa" w:w="4234"/>
            <w:vAlign w:val="center"/>
          </w:tcPr>
          <w:p>
            <w:pPr>
              <w:spacing w:before="60" w:after="60" w:line="259" w:lineRule="auto"/>
            </w:pPr>
            <w:r>
              <w:rPr>
                <w:b w:val="0"/>
                <w:sz w:val="20"/>
              </w:rPr>
              <w:t>physics/radio/joint/validation与联合案例；有限题设模型，不是实地无线认证</w:t>
            </w:r>
          </w:p>
        </w:tc>
      </w:tr>
      <w:tr>
        <w:trPr>
          <w:cantSplit/>
        </w:trPr>
        <w:tc>
          <w:tcPr>
            <w:tcW w:type="dxa" w:w="1728"/>
            <w:vAlign w:val="center"/>
          </w:tcPr>
          <w:p>
            <w:pPr>
              <w:spacing w:before="60" w:after="60" w:line="259" w:lineRule="auto"/>
            </w:pPr>
            <w:r>
              <w:rPr>
                <w:b w:val="0"/>
                <w:sz w:val="20"/>
              </w:rPr>
              <w:t>可审查的资源决策</w:t>
            </w:r>
          </w:p>
        </w:tc>
        <w:tc>
          <w:tcPr>
            <w:tcW w:type="dxa" w:w="4032"/>
            <w:vAlign w:val="center"/>
          </w:tcPr>
          <w:p>
            <w:pPr>
              <w:spacing w:before="60" w:after="60" w:line="259" w:lineRule="auto"/>
            </w:pPr>
            <w:r>
              <w:rPr>
                <w:b w:val="0"/>
                <w:sz w:val="20"/>
              </w:rPr>
              <w:t>独立快照反事实、并发峰值、容量必要下界、冻结分区缺口</w:t>
            </w:r>
          </w:p>
        </w:tc>
        <w:tc>
          <w:tcPr>
            <w:tcW w:type="dxa" w:w="4234"/>
            <w:vAlign w:val="center"/>
          </w:tcPr>
          <w:p>
            <w:pPr>
              <w:spacing w:before="60" w:after="60" w:line="259" w:lineRule="auto"/>
            </w:pPr>
            <w:r>
              <w:rPr>
                <w:b w:val="0"/>
                <w:sz w:val="20"/>
              </w:rPr>
              <w:t>analysis/bounds/partition与真实试算；不将一次可行等同最少采购</w:t>
            </w:r>
          </w:p>
        </w:tc>
      </w:tr>
      <w:tr>
        <w:trPr>
          <w:cantSplit/>
        </w:trPr>
        <w:tc>
          <w:tcPr>
            <w:tcW w:type="dxa" w:w="1728"/>
            <w:vAlign w:val="center"/>
          </w:tcPr>
          <w:p>
            <w:pPr>
              <w:spacing w:before="60" w:after="60" w:line="259" w:lineRule="auto"/>
            </w:pPr>
            <w:r>
              <w:rPr>
                <w:b w:val="0"/>
                <w:sz w:val="20"/>
              </w:rPr>
              <w:t>计划到业务演练的闭环</w:t>
            </w:r>
          </w:p>
        </w:tc>
        <w:tc>
          <w:tcPr>
            <w:tcW w:type="dxa" w:w="4032"/>
            <w:vAlign w:val="center"/>
          </w:tcPr>
          <w:p>
            <w:pPr>
              <w:spacing w:before="60" w:after="60" w:line="259" w:lineRule="auto"/>
            </w:pPr>
            <w:r>
              <w:rPr>
                <w:b w:val="0"/>
                <w:sz w:val="20"/>
              </w:rPr>
              <w:t>版本、幂等、确认预约、模拟账本、残余修复、设备状态读回、只读复盘</w:t>
            </w:r>
          </w:p>
        </w:tc>
        <w:tc>
          <w:tcPr>
            <w:tcW w:type="dxa" w:w="4234"/>
            <w:vAlign w:val="center"/>
          </w:tcPr>
          <w:p>
            <w:pPr>
              <w:spacing w:before="60" w:after="60" w:line="259" w:lineRule="auto"/>
            </w:pPr>
            <w:r>
              <w:rPr>
                <w:b w:val="0"/>
                <w:sz w:val="20"/>
              </w:rPr>
              <w:t>事件/执行/设备专项和浏览器证据；模拟设备，尚无真机验证</w:t>
            </w:r>
          </w:p>
        </w:tc>
      </w:tr>
      <w:tr>
        <w:trPr>
          <w:cantSplit/>
        </w:trPr>
        <w:tc>
          <w:tcPr>
            <w:tcW w:type="dxa" w:w="1728"/>
            <w:vAlign w:val="center"/>
          </w:tcPr>
          <w:p>
            <w:pPr>
              <w:spacing w:before="60" w:after="60" w:line="259" w:lineRule="auto"/>
            </w:pPr>
            <w:r>
              <w:rPr>
                <w:b w:val="0"/>
                <w:sz w:val="20"/>
              </w:rPr>
              <w:t>数模成果的可解释产品化</w:t>
            </w:r>
          </w:p>
        </w:tc>
        <w:tc>
          <w:tcPr>
            <w:tcW w:type="dxa" w:w="4032"/>
            <w:vAlign w:val="center"/>
          </w:tcPr>
          <w:p>
            <w:pPr>
              <w:spacing w:before="60" w:after="60" w:line="259" w:lineRule="auto"/>
            </w:pPr>
            <w:r>
              <w:rPr>
                <w:b w:val="0"/>
                <w:sz w:val="20"/>
              </w:rPr>
              <w:t>逐箱安排表、六页Excel、地图甘特联动、三维与升降、通信关系、教程</w:t>
            </w:r>
          </w:p>
        </w:tc>
        <w:tc>
          <w:tcPr>
            <w:tcW w:type="dxa" w:w="4234"/>
            <w:vAlign w:val="center"/>
          </w:tcPr>
          <w:p>
            <w:pPr>
              <w:spacing w:before="60" w:after="60" w:line="259" w:lineRule="auto"/>
            </w:pPr>
            <w:r>
              <w:rPr>
                <w:b w:val="0"/>
                <w:sz w:val="20"/>
              </w:rPr>
              <w:t>当前页面与Plan绑定；属于系统集成和交互贡献，不能称所有底层模型原创</w:t>
            </w:r>
          </w:p>
        </w:tc>
      </w:tr>
    </w:tbl>
    <w:p>
      <w:pPr>
        <w:spacing w:after="20"/>
      </w:pPr>
    </w:p>
    <w:p>
      <w:r>
        <w:rPr>
          <w:b w:val="0"/>
        </w:rPr>
        <w:t>“创新”在此是本项目要展示和进一步验证的技术贡献线索，不等于已经完成专利新颖性检索或证明同行均无此功能。申报书可据此组织技术路线，但收益百分比必须有同输入、同预算、完整分母的后续实验支持。</w:t>
      </w:r>
    </w:p>
    <w:p>
      <w:pPr>
        <w:pStyle w:val="Heading2"/>
      </w:pPr>
      <w:r>
        <w:t>18.3 算法技术路线素材</w:t>
      </w:r>
    </w:p>
    <w:p>
      <w:r>
        <w:rPr>
          <w:b w:val="0"/>
        </w:rPr>
        <w:t>系统首先将业务输入固化为带内容hash的快照，基于DEM、限制区和载荷相关物理生成可行航段与箱件组合；快速阶段通过多起点插入和实体资源日历形成完整方案，改进阶段在有限路线或中继候选上使用约束规划安排机体、能源与服务窗口。所有发布候选由独立检查器重建载荷、时间、能源、资源及通信等条件。动态变化时，根据冻结事实建立剩余任务输入，通过资源后继传播定位可修复范围，并在局部不足时全量回退，最终经差异确认将新未来安排纳入模拟执行。</w:t>
      </w:r>
    </w:p>
    <w:p>
      <w:pPr>
        <w:pStyle w:val="Heading2"/>
      </w:pPr>
      <w:r>
        <w:t>18.4 申报时不要直接写成已完成的内容</w:t>
      </w:r>
    </w:p>
    <w:p>
      <w:r>
        <w:rPr>
          <w:b w:val="0"/>
        </w:rPr>
        <w:t>不能写“强化学习调度已经部署”“实时风场能耗预测”“任意灾区全局最优”“真实机群自主飞行”“公共通信全域覆盖”“100%安全可靠”“相比同行提升固定百分比”或“所有原方案功能均完成”。更准确的表述是本机可运行的规划与业务演练系统、声明模型中的独立检查、现有基准的真实计算，以及有明确实验计划的后续扩展。</w:t>
      </w:r>
    </w:p>
    <w:p>
      <w:r>
        <w:rPr>
          <w:b w:val="0"/>
        </w:rPr>
        <w:t>赛事资格、匿名、作品复用、数据授权和提交要求需按实际使用场合另行核对；原开发Word里的日期和政策描述不作为当前文档的已核验通知。原数模材料含身份信息，制作公开或匿名包时另做整理，内部文档不等于已匿名参赛材料。</w:t>
      </w:r>
    </w:p>
    <w:p>
      <w:pPr>
        <w:pStyle w:val="Heading1"/>
      </w:pPr>
      <w:r>
        <w:t>19 部署 数据交接与日常运行</w:t>
      </w:r>
    </w:p>
    <w:p>
      <w:pPr>
        <w:pStyle w:val="Heading2"/>
      </w:pPr>
      <w:r>
        <w:t>19.1 当前电脑</w:t>
      </w:r>
    </w:p>
    <w:p>
      <w:r>
        <w:rPr>
          <w:b w:val="0"/>
        </w:rPr>
        <w:t>在仓库根双击</w:t>
      </w:r>
      <w:r>
        <w:rPr>
          <w:rFonts w:ascii="Consolas" w:hAnsi="Consolas"/>
          <w:b w:val="0"/>
          <w:color w:val="234C54"/>
          <w:sz w:val="20"/>
        </w:rPr>
        <w:t>start.cmd</w:t>
      </w:r>
      <w:r>
        <w:rPr>
          <w:b w:val="0"/>
        </w:rPr>
        <w:t>，访问</w:t>
      </w:r>
      <w:r>
        <w:rPr>
          <w:rFonts w:ascii="Consolas" w:hAnsi="Consolas"/>
          <w:b w:val="0"/>
          <w:color w:val="234C54"/>
          <w:sz w:val="20"/>
        </w:rPr>
        <w:t>http://127.0.0.1:8000/</w:t>
      </w:r>
      <w:r>
        <w:rPr>
          <w:b w:val="0"/>
        </w:rPr>
        <w:t>。依赖和正式构建有效时无需Node常驻或联网。启动器核对项目/数据身份、后端源码和前端构建，发现旧服务不会盲目结束未知进程。数据保存在</w:t>
      </w:r>
      <w:r>
        <w:rPr>
          <w:rFonts w:ascii="Consolas" w:hAnsi="Consolas"/>
          <w:b w:val="0"/>
          <w:color w:val="234C54"/>
          <w:sz w:val="20"/>
        </w:rPr>
        <w:t>runtime/</w:t>
      </w:r>
      <w:r>
        <w:rPr>
          <w:b w:val="0"/>
        </w:rPr>
        <w:t>，关闭服务窗口或Ctrl C停止，重启保留。</w:t>
      </w:r>
    </w:p>
    <w:p>
      <w:pPr>
        <w:pStyle w:val="Heading2"/>
      </w:pPr>
      <w:r>
        <w:t>19.2 新电脑</w:t>
      </w:r>
    </w:p>
    <w:p>
      <w:pPr>
        <w:keepNext/>
        <w:spacing w:after="40" w:line="252" w:lineRule="auto"/>
      </w:pPr>
      <w:r>
        <w:rPr>
          <w:rFonts w:ascii="Consolas" w:hAnsi="Consolas" w:eastAsia="微软雅黑"/>
          <w:sz w:val="19"/>
        </w:rPr>
        <w:t>git clone --branch feat/mission-command-v4 https://github.com/xiaoroyi/yuanhang-uav-rescue.git</w:t>
      </w:r>
    </w:p>
    <w:p>
      <w:pPr>
        <w:keepNext/>
        <w:spacing w:after="40" w:line="252" w:lineRule="auto"/>
      </w:pPr>
      <w:r>
        <w:rPr>
          <w:rFonts w:ascii="Consolas" w:hAnsi="Consolas" w:eastAsia="微软雅黑"/>
          <w:sz w:val="19"/>
        </w:rPr>
        <w:t>cd yuanhang-uav-rescue</w:t>
      </w:r>
    </w:p>
    <w:p>
      <w:pPr>
        <w:keepNext/>
        <w:spacing w:after="40" w:line="252" w:lineRule="auto"/>
      </w:pPr>
      <w:r>
        <w:rPr>
          <w:rFonts w:ascii="Consolas" w:hAnsi="Consolas" w:eastAsia="微软雅黑"/>
          <w:sz w:val="19"/>
        </w:rPr>
        <w:t>.\setup.cmd --check</w:t>
      </w:r>
    </w:p>
    <w:p>
      <w:pPr>
        <w:keepNext/>
        <w:spacing w:after="40" w:line="252" w:lineRule="auto"/>
      </w:pPr>
      <w:r>
        <w:rPr>
          <w:rFonts w:ascii="Consolas" w:hAnsi="Consolas" w:eastAsia="微软雅黑"/>
          <w:sz w:val="19"/>
        </w:rPr>
        <w:t>.\setup.cmd</w:t>
      </w:r>
    </w:p>
    <w:p>
      <w:pPr>
        <w:keepNext w:val="0"/>
        <w:spacing w:after="40" w:line="252" w:lineRule="auto"/>
      </w:pPr>
      <w:r>
        <w:rPr>
          <w:rFonts w:ascii="Consolas" w:hAnsi="Consolas" w:eastAsia="微软雅黑"/>
          <w:sz w:val="19"/>
        </w:rPr>
        <w:t>.\start.cmd</w:t>
      </w:r>
    </w:p>
    <w:p>
      <w:r>
        <w:rPr>
          <w:b w:val="0"/>
        </w:rPr>
        <w:t>首次需兼容Python 3.11/3.12与Node 24，并联网安装锁定依赖。项目使用</w:t>
      </w:r>
      <w:r>
        <w:rPr>
          <w:rFonts w:ascii="Consolas" w:hAnsi="Consolas"/>
          <w:b w:val="0"/>
          <w:color w:val="234C54"/>
          <w:sz w:val="20"/>
        </w:rPr>
        <w:t>.venv</w:t>
      </w:r>
      <w:r>
        <w:rPr>
          <w:b w:val="0"/>
        </w:rPr>
        <w:t>和</w:t>
      </w:r>
      <w:r>
        <w:rPr>
          <w:rFonts w:ascii="Consolas" w:hAnsi="Consolas"/>
          <w:b w:val="0"/>
          <w:color w:val="234C54"/>
          <w:sz w:val="20"/>
        </w:rPr>
        <w:t>frontend/node_modules</w:t>
      </w:r>
      <w:r>
        <w:rPr>
          <w:b w:val="0"/>
        </w:rPr>
        <w:t>，不改全局Python。若没有</w:t>
      </w:r>
      <w:r>
        <w:rPr>
          <w:rFonts w:ascii="Consolas" w:hAnsi="Consolas"/>
          <w:b w:val="0"/>
          <w:color w:val="234C54"/>
          <w:sz w:val="20"/>
        </w:rPr>
        <w:t>py</w:t>
      </w:r>
      <w:r>
        <w:rPr>
          <w:b w:val="0"/>
        </w:rPr>
        <w:t>启动器，用兼容Python运行</w:t>
      </w:r>
      <w:r>
        <w:rPr>
          <w:rFonts w:ascii="Consolas" w:hAnsi="Consolas"/>
          <w:b w:val="0"/>
          <w:color w:val="234C54"/>
          <w:sz w:val="20"/>
        </w:rPr>
        <w:t>scripts/setup.py</w:t>
      </w:r>
      <w:r>
        <w:rPr>
          <w:b w:val="0"/>
        </w:rPr>
        <w:t>。本机</w:t>
      </w:r>
      <w:r>
        <w:rPr>
          <w:rFonts w:ascii="Consolas" w:hAnsi="Consolas"/>
          <w:b w:val="0"/>
          <w:color w:val="234C54"/>
          <w:sz w:val="20"/>
        </w:rPr>
        <w:t>.env</w:t>
      </w:r>
      <w:r>
        <w:rPr>
          <w:b w:val="0"/>
        </w:rPr>
        <w:t>不会自动读取；可选环境变量在</w:t>
      </w:r>
      <w:r>
        <w:rPr>
          <w:rFonts w:ascii="Consolas" w:hAnsi="Consolas"/>
          <w:b w:val="0"/>
          <w:color w:val="234C54"/>
          <w:sz w:val="20"/>
        </w:rPr>
        <w:t>.env.example</w:t>
      </w:r>
      <w:r>
        <w:rPr>
          <w:b w:val="0"/>
        </w:rPr>
        <w:t>与</w:t>
      </w:r>
      <w:r>
        <w:rPr>
          <w:rFonts w:ascii="Consolas" w:hAnsi="Consolas"/>
          <w:b w:val="0"/>
          <w:color w:val="234C54"/>
          <w:sz w:val="20"/>
        </w:rPr>
        <w:t>docs/LOCAL_OPERATIONS.md</w:t>
      </w:r>
      <w:r>
        <w:rPr>
          <w:b w:val="0"/>
        </w:rPr>
        <w:t>说明。</w:t>
      </w:r>
    </w:p>
    <w:p>
      <w:pPr>
        <w:pStyle w:val="Heading2"/>
      </w:pPr>
      <w:r>
        <w:t>19.3 开发运行</w:t>
      </w:r>
    </w:p>
    <w:p>
      <w:pPr>
        <w:keepNext/>
        <w:spacing w:after="40" w:line="252" w:lineRule="auto"/>
      </w:pPr>
      <w:r>
        <w:rPr>
          <w:rFonts w:ascii="Consolas" w:hAnsi="Consolas" w:eastAsia="微软雅黑"/>
          <w:sz w:val="19"/>
        </w:rPr>
        <w:t>.venv/Scripts/python -m uvicorn backend.app.main:app --host 127.0.0.1 --port 8000</w:t>
      </w:r>
    </w:p>
    <w:p>
      <w:pPr>
        <w:keepNext w:val="0"/>
        <w:spacing w:after="40" w:line="252" w:lineRule="auto"/>
      </w:pPr>
      <w:r>
        <w:rPr>
          <w:rFonts w:ascii="Consolas" w:hAnsi="Consolas" w:eastAsia="微软雅黑"/>
          <w:sz w:val="19"/>
        </w:rPr>
        <w:t>npm.cmd --prefix frontend run dev</w:t>
      </w:r>
    </w:p>
    <w:p>
      <w:r>
        <w:rPr>
          <w:b w:val="0"/>
        </w:rPr>
        <w:t>两个终端分别运行；开发界面默认5173，代理后端8000。修改前端后正式使用需重新构建；修改后端需重启自己的服务。需要隔离数据时先设置</w:t>
      </w:r>
      <w:r>
        <w:rPr>
          <w:rFonts w:ascii="Consolas" w:hAnsi="Consolas"/>
          <w:b w:val="0"/>
          <w:color w:val="234C54"/>
          <w:sz w:val="20"/>
        </w:rPr>
        <w:t>YUANHANG_RUNTIME</w:t>
      </w:r>
      <w:r>
        <w:rPr>
          <w:b w:val="0"/>
        </w:rPr>
        <w:t>为项目</w:t>
      </w:r>
      <w:r>
        <w:rPr>
          <w:rFonts w:ascii="Consolas" w:hAnsi="Consolas"/>
          <w:b w:val="0"/>
          <w:color w:val="234C54"/>
          <w:sz w:val="20"/>
        </w:rPr>
        <w:t>.local/</w:t>
      </w:r>
      <w:r>
        <w:rPr>
          <w:b w:val="0"/>
        </w:rPr>
        <w:t>下专用目录，不要让测试指向真实演示库。仅本机回环监听不是多用户公网部署方案。</w:t>
      </w:r>
    </w:p>
    <w:p>
      <w:pPr>
        <w:pStyle w:val="Heading2"/>
      </w:pPr>
      <w:r>
        <w:t>19.4 代码与数据分开交接</w:t>
      </w:r>
    </w:p>
    <w:p>
      <w:r>
        <w:rPr>
          <w:b w:val="0"/>
        </w:rPr>
        <w:t>GitHub同步代码、契约、说明和已选证据，不上传数据库、依赖、缓存或密钥。交接本机全部运行数据时执行</w:t>
      </w:r>
      <w:r>
        <w:rPr>
          <w:rFonts w:ascii="Consolas" w:hAnsi="Consolas"/>
          <w:b w:val="0"/>
          <w:color w:val="234C54"/>
          <w:sz w:val="20"/>
        </w:rPr>
        <w:t>backup.cmd</w:t>
      </w:r>
      <w:r>
        <w:rPr>
          <w:b w:val="0"/>
        </w:rPr>
        <w:t>或</w:t>
      </w:r>
      <w:r>
        <w:rPr>
          <w:rFonts w:ascii="Consolas" w:hAnsi="Consolas"/>
          <w:b w:val="0"/>
          <w:color w:val="234C54"/>
          <w:sz w:val="20"/>
        </w:rPr>
        <w:t>scripts/backup.py</w:t>
      </w:r>
      <w:r>
        <w:rPr>
          <w:b w:val="0"/>
        </w:rPr>
        <w:t>的一致性备份；不要直接复制运行中的SQLite主文件而遗漏WAL。恢复必须进入尚不存在的新目录，先另端口验证，不覆盖当前数据。</w:t>
      </w:r>
    </w:p>
    <w:p>
      <w:r>
        <w:rPr>
          <w:b w:val="0"/>
        </w:rPr>
        <w:t>仅交接自定义地图用完整DEM资产包，交接复盘用执行档案。只读档案不能重新变成可控制任务；代码、运行数据备份、DEM包、只读档案各有不同用途。</w:t>
      </w:r>
    </w:p>
    <w:p>
      <w:pPr>
        <w:pStyle w:val="Heading1"/>
      </w:pPr>
      <w:r>
        <w:t>20 无记忆接手的阅读顺序和文件地图</w:t>
      </w:r>
    </w:p>
    <w:p>
      <w:pPr>
        <w:pStyle w:val="Heading2"/>
      </w:pPr>
      <w:r>
        <w:t>20.1 最小必读</w:t>
      </w:r>
    </w:p>
    <w:p>
      <w:r>
        <w:rPr>
          <w:b w:val="0"/>
        </w:rPr>
        <w:t>新窗口先读本文，再读下表的规则与当前状态；不需要每次全文重读所有31份RFC和原论文。本文足以理解整体，机器字段与变更仍需精读具体来源。</w:t>
      </w:r>
    </w:p>
    <w:tbl>
      <w:tblPr>
        <w:tblStyle w:val="TableGrid"/>
        <w:tblW w:type="auto" w:w="0"/>
        <w:jc w:val="center"/>
        <w:tblLayout w:type="fixed"/>
        <w:tblLook w:firstColumn="1" w:firstRow="1" w:lastColumn="0" w:lastRow="0" w:noHBand="0" w:noVBand="1" w:val="04A0"/>
      </w:tblPr>
      <w:tblGrid>
        <w:gridCol w:w="1728"/>
        <w:gridCol w:w="4032"/>
        <w:gridCol w:w="4234"/>
      </w:tblGrid>
      <w:tr>
        <w:trPr>
          <w:tblHeader/>
          <w:cantSplit/>
        </w:trPr>
        <w:tc>
          <w:tcPr>
            <w:tcW w:type="dxa" w:w="1728"/>
            <w:vAlign w:val="center"/>
            <w:shd w:fill="EAF0F0"/>
          </w:tcPr>
          <w:p>
            <w:pPr>
              <w:keepNext/>
              <w:spacing w:before="60" w:after="60" w:line="259" w:lineRule="auto"/>
            </w:pPr>
            <w:r>
              <w:rPr>
                <w:b/>
                <w:sz w:val="20"/>
              </w:rPr>
              <w:t>顺序</w:t>
            </w:r>
          </w:p>
        </w:tc>
        <w:tc>
          <w:tcPr>
            <w:tcW w:type="dxa" w:w="4032"/>
            <w:vAlign w:val="center"/>
            <w:shd w:fill="EAF0F0"/>
          </w:tcPr>
          <w:p>
            <w:pPr>
              <w:keepNext/>
              <w:spacing w:before="60" w:after="60" w:line="259" w:lineRule="auto"/>
            </w:pPr>
            <w:r>
              <w:rPr>
                <w:b/>
                <w:sz w:val="20"/>
              </w:rPr>
              <w:t>文件</w:t>
            </w:r>
          </w:p>
        </w:tc>
        <w:tc>
          <w:tcPr>
            <w:tcW w:type="dxa" w:w="4234"/>
            <w:vAlign w:val="center"/>
            <w:shd w:fill="EAF0F0"/>
          </w:tcPr>
          <w:p>
            <w:pPr>
              <w:keepNext/>
              <w:spacing w:before="60" w:after="60" w:line="259" w:lineRule="auto"/>
            </w:pPr>
            <w:r>
              <w:rPr>
                <w:b/>
                <w:sz w:val="20"/>
              </w:rPr>
              <w:t>解决什么问题</w:t>
            </w:r>
          </w:p>
        </w:tc>
      </w:tr>
      <w:tr>
        <w:trPr>
          <w:cantSplit/>
        </w:trPr>
        <w:tc>
          <w:tcPr>
            <w:tcW w:type="dxa" w:w="1728"/>
            <w:vAlign w:val="center"/>
          </w:tcPr>
          <w:p>
            <w:pPr>
              <w:spacing w:before="60" w:after="60" w:line="259" w:lineRule="auto"/>
            </w:pPr>
            <w:r>
              <w:rPr>
                <w:b w:val="0"/>
                <w:sz w:val="20"/>
              </w:rPr>
              <w:t>1</w:t>
            </w:r>
          </w:p>
        </w:tc>
        <w:tc>
          <w:tcPr>
            <w:tcW w:type="dxa" w:w="4032"/>
            <w:vAlign w:val="center"/>
          </w:tcPr>
          <w:p>
            <w:pPr>
              <w:spacing w:before="60" w:after="60" w:line="259" w:lineRule="auto"/>
            </w:pPr>
            <w:r>
              <w:rPr>
                <w:rFonts w:ascii="Consolas" w:hAnsi="Consolas"/>
                <w:b w:val="0"/>
                <w:color w:val="234C54"/>
                <w:sz w:val="20"/>
              </w:rPr>
              <w:t>AGENTS.md</w:t>
            </w:r>
            <w:r>
              <w:rPr>
                <w:b w:val="0"/>
                <w:sz w:val="20"/>
              </w:rPr>
              <w:t>、目标模块</w:t>
            </w:r>
            <w:r>
              <w:rPr>
                <w:rFonts w:ascii="Consolas" w:hAnsi="Consolas"/>
                <w:b w:val="0"/>
                <w:color w:val="234C54"/>
                <w:sz w:val="20"/>
              </w:rPr>
              <w:t>AGENTS.md</w:t>
            </w:r>
            <w:r>
              <w:rPr>
                <w:b w:val="0"/>
                <w:sz w:val="20"/>
              </w:rPr>
              <w:t>、</w:t>
            </w:r>
            <w:r>
              <w:rPr>
                <w:rFonts w:ascii="Consolas" w:hAnsi="Consolas"/>
                <w:b w:val="0"/>
                <w:color w:val="234C54"/>
                <w:sz w:val="20"/>
              </w:rPr>
              <w:t>CONTRIBUTING.md</w:t>
            </w:r>
          </w:p>
        </w:tc>
        <w:tc>
          <w:tcPr>
            <w:tcW w:type="dxa" w:w="4234"/>
            <w:vAlign w:val="center"/>
          </w:tcPr>
          <w:p>
            <w:pPr>
              <w:spacing w:before="60" w:after="60" w:line="259" w:lineRule="auto"/>
            </w:pPr>
            <w:r>
              <w:rPr>
                <w:b w:val="0"/>
                <w:sz w:val="20"/>
              </w:rPr>
              <w:t>当前用户授权、两人所有权、Git与数据保护</w:t>
            </w:r>
          </w:p>
        </w:tc>
      </w:tr>
      <w:tr>
        <w:trPr>
          <w:cantSplit/>
        </w:trPr>
        <w:tc>
          <w:tcPr>
            <w:tcW w:type="dxa" w:w="1728"/>
            <w:vAlign w:val="center"/>
          </w:tcPr>
          <w:p>
            <w:pPr>
              <w:spacing w:before="60" w:after="60" w:line="259" w:lineRule="auto"/>
            </w:pPr>
            <w:r>
              <w:rPr>
                <w:b w:val="0"/>
                <w:sz w:val="20"/>
              </w:rPr>
              <w:t>2</w:t>
            </w:r>
          </w:p>
        </w:tc>
        <w:tc>
          <w:tcPr>
            <w:tcW w:type="dxa" w:w="4032"/>
            <w:vAlign w:val="center"/>
          </w:tcPr>
          <w:p>
            <w:pPr>
              <w:spacing w:before="60" w:after="60" w:line="259" w:lineRule="auto"/>
            </w:pPr>
            <w:r>
              <w:rPr>
                <w:rFonts w:ascii="Consolas" w:hAnsi="Consolas"/>
                <w:b w:val="0"/>
                <w:color w:val="234C54"/>
                <w:sz w:val="20"/>
              </w:rPr>
              <w:t>README.md</w:t>
            </w:r>
            <w:r>
              <w:rPr>
                <w:b w:val="0"/>
                <w:sz w:val="20"/>
              </w:rPr>
              <w:t>、</w:t>
            </w:r>
            <w:r>
              <w:rPr>
                <w:rFonts w:ascii="Consolas" w:hAnsi="Consolas"/>
                <w:b w:val="0"/>
                <w:color w:val="234C54"/>
                <w:sz w:val="20"/>
              </w:rPr>
              <w:t>docs/IMPLEMENTATION_STATUS.md</w:t>
            </w:r>
          </w:p>
        </w:tc>
        <w:tc>
          <w:tcPr>
            <w:tcW w:type="dxa" w:w="4234"/>
            <w:vAlign w:val="center"/>
          </w:tcPr>
          <w:p>
            <w:pPr>
              <w:spacing w:before="60" w:after="60" w:line="259" w:lineRule="auto"/>
            </w:pPr>
            <w:r>
              <w:rPr>
                <w:b w:val="0"/>
                <w:sz w:val="20"/>
              </w:rPr>
              <w:t>当前入口、运行方式、V3与历史状态区分</w:t>
            </w:r>
          </w:p>
        </w:tc>
      </w:tr>
      <w:tr>
        <w:trPr>
          <w:cantSplit/>
        </w:trPr>
        <w:tc>
          <w:tcPr>
            <w:tcW w:type="dxa" w:w="1728"/>
            <w:vAlign w:val="center"/>
          </w:tcPr>
          <w:p>
            <w:pPr>
              <w:spacing w:before="60" w:after="60" w:line="259" w:lineRule="auto"/>
            </w:pPr>
            <w:r>
              <w:rPr>
                <w:b w:val="0"/>
                <w:sz w:val="20"/>
              </w:rPr>
              <w:t>3</w:t>
            </w:r>
          </w:p>
        </w:tc>
        <w:tc>
          <w:tcPr>
            <w:tcW w:type="dxa" w:w="4032"/>
            <w:vAlign w:val="center"/>
          </w:tcPr>
          <w:p>
            <w:pPr>
              <w:spacing w:before="60" w:after="60" w:line="259" w:lineRule="auto"/>
            </w:pPr>
            <w:r>
              <w:rPr>
                <w:rFonts w:ascii="Consolas" w:hAnsi="Consolas"/>
                <w:b w:val="0"/>
                <w:color w:val="234C54"/>
                <w:sz w:val="20"/>
              </w:rPr>
              <w:t>evidence/experience-v4/HANDOFF.md</w:t>
            </w:r>
            <w:r>
              <w:rPr>
                <w:b w:val="0"/>
                <w:sz w:val="20"/>
              </w:rPr>
              <w:t>、</w:t>
            </w:r>
            <w:r>
              <w:rPr>
                <w:rFonts w:ascii="Consolas" w:hAnsi="Consolas"/>
                <w:b w:val="0"/>
                <w:color w:val="234C54"/>
                <w:sz w:val="20"/>
              </w:rPr>
              <w:t>KNOWN_LIMITATIONS.md</w:t>
            </w:r>
            <w:r>
              <w:rPr>
                <w:b w:val="0"/>
                <w:sz w:val="20"/>
              </w:rPr>
              <w:t>；V3证据保留追溯</w:t>
            </w:r>
          </w:p>
        </w:tc>
        <w:tc>
          <w:tcPr>
            <w:tcW w:type="dxa" w:w="4234"/>
            <w:vAlign w:val="center"/>
          </w:tcPr>
          <w:p>
            <w:pPr>
              <w:spacing w:before="60" w:after="60" w:line="259" w:lineRule="auto"/>
            </w:pPr>
            <w:r>
              <w:rPr>
                <w:b w:val="0"/>
                <w:sz w:val="20"/>
              </w:rPr>
              <w:t>当前交接、代码位置、能力边界</w:t>
            </w:r>
          </w:p>
        </w:tc>
      </w:tr>
      <w:tr>
        <w:trPr>
          <w:cantSplit/>
        </w:trPr>
        <w:tc>
          <w:tcPr>
            <w:tcW w:type="dxa" w:w="1728"/>
            <w:vAlign w:val="center"/>
          </w:tcPr>
          <w:p>
            <w:pPr>
              <w:spacing w:before="60" w:after="60" w:line="259" w:lineRule="auto"/>
            </w:pPr>
            <w:r>
              <w:rPr>
                <w:b w:val="0"/>
                <w:sz w:val="20"/>
              </w:rPr>
              <w:t>4</w:t>
            </w:r>
          </w:p>
        </w:tc>
        <w:tc>
          <w:tcPr>
            <w:tcW w:type="dxa" w:w="4032"/>
            <w:vAlign w:val="center"/>
          </w:tcPr>
          <w:p>
            <w:pPr>
              <w:spacing w:before="60" w:after="60" w:line="259" w:lineRule="auto"/>
            </w:pPr>
            <w:r>
              <w:rPr>
                <w:rFonts w:ascii="Consolas" w:hAnsi="Consolas"/>
                <w:b w:val="0"/>
                <w:color w:val="234C54"/>
                <w:sz w:val="20"/>
              </w:rPr>
              <w:t>docs/task-board.json</w:t>
            </w:r>
            <w:r>
              <w:rPr>
                <w:b w:val="0"/>
                <w:sz w:val="20"/>
              </w:rPr>
              <w:t>及</w:t>
            </w:r>
            <w:r>
              <w:rPr>
                <w:rFonts w:ascii="Consolas" w:hAnsi="Consolas"/>
                <w:b w:val="0"/>
                <w:color w:val="234C54"/>
                <w:sz w:val="20"/>
              </w:rPr>
              <w:t>docs/08-TASK-BOARD.md</w:t>
            </w:r>
          </w:p>
        </w:tc>
        <w:tc>
          <w:tcPr>
            <w:tcW w:type="dxa" w:w="4234"/>
            <w:vAlign w:val="center"/>
          </w:tcPr>
          <w:p>
            <w:pPr>
              <w:spacing w:before="60" w:after="60" w:line="259" w:lineRule="auto"/>
            </w:pPr>
            <w:r>
              <w:rPr>
                <w:b w:val="0"/>
                <w:sz w:val="20"/>
              </w:rPr>
              <w:t>唯一任务状态及其可读投影，不另建重复板</w:t>
            </w:r>
          </w:p>
        </w:tc>
      </w:tr>
      <w:tr>
        <w:trPr>
          <w:cantSplit/>
        </w:trPr>
        <w:tc>
          <w:tcPr>
            <w:tcW w:type="dxa" w:w="1728"/>
            <w:vAlign w:val="center"/>
          </w:tcPr>
          <w:p>
            <w:pPr>
              <w:spacing w:before="60" w:after="60" w:line="259" w:lineRule="auto"/>
            </w:pPr>
            <w:r>
              <w:rPr>
                <w:b w:val="0"/>
                <w:sz w:val="20"/>
              </w:rPr>
              <w:t>5</w:t>
            </w:r>
          </w:p>
        </w:tc>
        <w:tc>
          <w:tcPr>
            <w:tcW w:type="dxa" w:w="4032"/>
            <w:vAlign w:val="center"/>
          </w:tcPr>
          <w:p>
            <w:pPr>
              <w:spacing w:before="60" w:after="60" w:line="259" w:lineRule="auto"/>
            </w:pPr>
            <w:r>
              <w:rPr>
                <w:rFonts w:ascii="Consolas" w:hAnsi="Consolas"/>
                <w:b w:val="0"/>
                <w:color w:val="234C54"/>
                <w:sz w:val="20"/>
              </w:rPr>
              <w:t>contracts/manifest.json</w:t>
            </w:r>
            <w:r>
              <w:rPr>
                <w:b w:val="0"/>
                <w:sz w:val="20"/>
              </w:rPr>
              <w:t>与相关领域Schema</w:t>
            </w:r>
          </w:p>
        </w:tc>
        <w:tc>
          <w:tcPr>
            <w:tcW w:type="dxa" w:w="4234"/>
            <w:vAlign w:val="center"/>
          </w:tcPr>
          <w:p>
            <w:pPr>
              <w:spacing w:before="60" w:after="60" w:line="259" w:lineRule="auto"/>
            </w:pPr>
            <w:r>
              <w:rPr>
                <w:b w:val="0"/>
                <w:sz w:val="20"/>
              </w:rPr>
              <w:t>版本、单位、必填和批准状态</w:t>
            </w:r>
          </w:p>
        </w:tc>
      </w:tr>
      <w:tr>
        <w:trPr>
          <w:cantSplit/>
        </w:trPr>
        <w:tc>
          <w:tcPr>
            <w:tcW w:type="dxa" w:w="1728"/>
            <w:vAlign w:val="center"/>
          </w:tcPr>
          <w:p>
            <w:pPr>
              <w:spacing w:before="60" w:after="60" w:line="259" w:lineRule="auto"/>
            </w:pPr>
            <w:r>
              <w:rPr>
                <w:b w:val="0"/>
                <w:sz w:val="20"/>
              </w:rPr>
              <w:t>6</w:t>
            </w:r>
          </w:p>
        </w:tc>
        <w:tc>
          <w:tcPr>
            <w:tcW w:type="dxa" w:w="4032"/>
            <w:vAlign w:val="center"/>
          </w:tcPr>
          <w:p>
            <w:pPr>
              <w:spacing w:before="60" w:after="60" w:line="259" w:lineRule="auto"/>
            </w:pPr>
            <w:r>
              <w:rPr>
                <w:rFonts w:ascii="Consolas" w:hAnsi="Consolas"/>
                <w:b w:val="0"/>
                <w:color w:val="234C54"/>
                <w:sz w:val="20"/>
              </w:rPr>
              <w:t>contracts/operations/v2.schema.json</w:t>
            </w:r>
            <w:r>
              <w:rPr>
                <w:b w:val="0"/>
                <w:sz w:val="20"/>
              </w:rPr>
              <w:t>、</w:t>
            </w:r>
            <w:r>
              <w:rPr>
                <w:rFonts w:ascii="Consolas" w:hAnsi="Consolas"/>
                <w:b w:val="0"/>
                <w:color w:val="234C54"/>
                <w:sz w:val="20"/>
              </w:rPr>
              <w:t>contracts/http/openapi.generated.json</w:t>
            </w:r>
          </w:p>
        </w:tc>
        <w:tc>
          <w:tcPr>
            <w:tcW w:type="dxa" w:w="4234"/>
            <w:vAlign w:val="center"/>
          </w:tcPr>
          <w:p>
            <w:pPr>
              <w:spacing w:before="60" w:after="60" w:line="259" w:lineRule="auto"/>
            </w:pPr>
            <w:r>
              <w:rPr>
                <w:b w:val="0"/>
                <w:sz w:val="20"/>
              </w:rPr>
              <w:t>任务、执行、设备与实际HTTP，不把draft当实现</w:t>
            </w:r>
          </w:p>
        </w:tc>
      </w:tr>
      <w:tr>
        <w:trPr>
          <w:cantSplit/>
        </w:trPr>
        <w:tc>
          <w:tcPr>
            <w:tcW w:type="dxa" w:w="1728"/>
            <w:vAlign w:val="center"/>
          </w:tcPr>
          <w:p>
            <w:pPr>
              <w:spacing w:before="60" w:after="60" w:line="259" w:lineRule="auto"/>
            </w:pPr>
            <w:r>
              <w:rPr>
                <w:b w:val="0"/>
                <w:sz w:val="20"/>
              </w:rPr>
              <w:t>7</w:t>
            </w:r>
          </w:p>
        </w:tc>
        <w:tc>
          <w:tcPr>
            <w:tcW w:type="dxa" w:w="4032"/>
            <w:vAlign w:val="center"/>
          </w:tcPr>
          <w:p>
            <w:pPr>
              <w:spacing w:before="60" w:after="60" w:line="259" w:lineRule="auto"/>
            </w:pPr>
            <w:r>
              <w:rPr>
                <w:b w:val="0"/>
                <w:sz w:val="20"/>
              </w:rPr>
              <w:t>当前任务对应源码、专项测试、RFC与证据</w:t>
            </w:r>
          </w:p>
        </w:tc>
        <w:tc>
          <w:tcPr>
            <w:tcW w:type="dxa" w:w="4234"/>
            <w:vAlign w:val="center"/>
          </w:tcPr>
          <w:p>
            <w:pPr>
              <w:spacing w:before="60" w:after="60" w:line="259" w:lineRule="auto"/>
            </w:pPr>
            <w:r>
              <w:rPr>
                <w:b w:val="0"/>
                <w:sz w:val="20"/>
              </w:rPr>
              <w:t>判断已有实现再做小范围修改</w:t>
            </w:r>
          </w:p>
        </w:tc>
      </w:tr>
    </w:tbl>
    <w:p>
      <w:pPr>
        <w:spacing w:after="20"/>
      </w:pPr>
    </w:p>
    <w:p>
      <w:pPr>
        <w:pStyle w:val="Heading2"/>
      </w:pPr>
      <w:r>
        <w:t>20.2 按工作选择精读</w:t>
      </w:r>
    </w:p>
    <w:tbl>
      <w:tblPr>
        <w:tblStyle w:val="TableGrid"/>
        <w:tblW w:type="auto" w:w="0"/>
        <w:jc w:val="center"/>
        <w:tblLayout w:type="fixed"/>
        <w:tblLook w:firstColumn="1" w:firstRow="1" w:lastColumn="0" w:lastRow="0" w:noHBand="0" w:noVBand="1" w:val="04A0"/>
      </w:tblPr>
      <w:tblGrid>
        <w:gridCol w:w="1728"/>
        <w:gridCol w:w="8266"/>
      </w:tblGrid>
      <w:tr>
        <w:trPr>
          <w:tblHeader/>
          <w:cantSplit/>
        </w:trPr>
        <w:tc>
          <w:tcPr>
            <w:tcW w:type="dxa" w:w="1728"/>
            <w:vAlign w:val="center"/>
            <w:shd w:fill="EAF0F0"/>
          </w:tcPr>
          <w:p>
            <w:pPr>
              <w:keepNext/>
              <w:spacing w:before="60" w:after="60" w:line="259" w:lineRule="auto"/>
            </w:pPr>
            <w:r>
              <w:rPr>
                <w:b/>
                <w:sz w:val="20"/>
              </w:rPr>
              <w:t>工作</w:t>
            </w:r>
          </w:p>
        </w:tc>
        <w:tc>
          <w:tcPr>
            <w:tcW w:type="dxa" w:w="8266"/>
            <w:vAlign w:val="center"/>
            <w:shd w:fill="EAF0F0"/>
          </w:tcPr>
          <w:p>
            <w:pPr>
              <w:keepNext/>
              <w:spacing w:before="60" w:after="60" w:line="259" w:lineRule="auto"/>
            </w:pPr>
            <w:r>
              <w:rPr>
                <w:b/>
                <w:sz w:val="20"/>
              </w:rPr>
              <w:t>文档与关键实现</w:t>
            </w:r>
          </w:p>
        </w:tc>
      </w:tr>
      <w:tr>
        <w:trPr>
          <w:cantSplit/>
        </w:trPr>
        <w:tc>
          <w:tcPr>
            <w:tcW w:type="dxa" w:w="1728"/>
            <w:vAlign w:val="center"/>
          </w:tcPr>
          <w:p>
            <w:pPr>
              <w:spacing w:before="60" w:after="60" w:line="259" w:lineRule="auto"/>
            </w:pPr>
            <w:r>
              <w:rPr>
                <w:b w:val="0"/>
                <w:sz w:val="20"/>
              </w:rPr>
              <w:t>运输与目标</w:t>
            </w:r>
          </w:p>
        </w:tc>
        <w:tc>
          <w:tcPr>
            <w:tcW w:type="dxa" w:w="8266"/>
            <w:vAlign w:val="center"/>
          </w:tcPr>
          <w:p>
            <w:pPr>
              <w:spacing w:before="60" w:after="60" w:line="259" w:lineRule="auto"/>
            </w:pPr>
            <w:r>
              <w:rPr>
                <w:b w:val="0"/>
                <w:sz w:val="20"/>
              </w:rPr>
              <w:t>docs/05-SOLVER-CONTRACT、RFC016；public_api/physics/metrics/cp_pool/validation</w:t>
            </w:r>
          </w:p>
        </w:tc>
      </w:tr>
      <w:tr>
        <w:trPr>
          <w:cantSplit/>
        </w:trPr>
        <w:tc>
          <w:tcPr>
            <w:tcW w:type="dxa" w:w="1728"/>
            <w:vAlign w:val="center"/>
          </w:tcPr>
          <w:p>
            <w:pPr>
              <w:spacing w:before="60" w:after="60" w:line="259" w:lineRule="auto"/>
            </w:pPr>
            <w:r>
              <w:rPr>
                <w:b w:val="0"/>
                <w:sz w:val="20"/>
              </w:rPr>
              <w:t>地图与资产</w:t>
            </w:r>
          </w:p>
        </w:tc>
        <w:tc>
          <w:tcPr>
            <w:tcW w:type="dxa" w:w="8266"/>
            <w:vAlign w:val="center"/>
          </w:tcPr>
          <w:p>
            <w:pPr>
              <w:spacing w:before="60" w:after="60" w:line="259" w:lineRule="auto"/>
            </w:pPr>
            <w:r>
              <w:rPr>
                <w:b w:val="0"/>
                <w:sz w:val="20"/>
              </w:rPr>
              <w:t>SPATIAL_ROUTING、TERRAIN_ASSETS、RFC003/004/015/030；routing/assets/terrain_assets/flight_profiles</w:t>
            </w:r>
          </w:p>
        </w:tc>
      </w:tr>
      <w:tr>
        <w:trPr>
          <w:cantSplit/>
        </w:trPr>
        <w:tc>
          <w:tcPr>
            <w:tcW w:type="dxa" w:w="1728"/>
            <w:vAlign w:val="center"/>
          </w:tcPr>
          <w:p>
            <w:pPr>
              <w:spacing w:before="60" w:after="60" w:line="259" w:lineRule="auto"/>
            </w:pPr>
            <w:r>
              <w:rPr>
                <w:b w:val="0"/>
                <w:sz w:val="20"/>
              </w:rPr>
              <w:t>通信</w:t>
            </w:r>
          </w:p>
        </w:tc>
        <w:tc>
          <w:tcPr>
            <w:tcW w:type="dxa" w:w="8266"/>
            <w:vAlign w:val="center"/>
          </w:tcPr>
          <w:p>
            <w:pPr>
              <w:spacing w:before="60" w:after="60" w:line="259" w:lineRule="auto"/>
            </w:pPr>
            <w:r>
              <w:rPr>
                <w:b w:val="0"/>
                <w:sz w:val="20"/>
              </w:rPr>
              <w:t>COMMUNICATION、RFC006/018/030；radio/relay/joint及通信消费者</w:t>
            </w:r>
          </w:p>
        </w:tc>
      </w:tr>
      <w:tr>
        <w:trPr>
          <w:cantSplit/>
        </w:trPr>
        <w:tc>
          <w:tcPr>
            <w:tcW w:type="dxa" w:w="1728"/>
            <w:vAlign w:val="center"/>
          </w:tcPr>
          <w:p>
            <w:pPr>
              <w:spacing w:before="60" w:after="60" w:line="259" w:lineRule="auto"/>
            </w:pPr>
            <w:r>
              <w:rPr>
                <w:b w:val="0"/>
                <w:sz w:val="20"/>
              </w:rPr>
              <w:t>零时刻事件</w:t>
            </w:r>
          </w:p>
        </w:tc>
        <w:tc>
          <w:tcPr>
            <w:tcW w:type="dxa" w:w="8266"/>
            <w:vAlign w:val="center"/>
          </w:tcPr>
          <w:p>
            <w:pPr>
              <w:spacing w:before="60" w:after="60" w:line="259" w:lineRule="auto"/>
            </w:pPr>
            <w:r>
              <w:rPr>
                <w:b w:val="0"/>
                <w:sz w:val="20"/>
              </w:rPr>
              <w:t>EVENTS、RFC010/012/013；shared状态转移、public_api.replan</w:t>
            </w:r>
          </w:p>
        </w:tc>
      </w:tr>
      <w:tr>
        <w:trPr>
          <w:cantSplit/>
        </w:trPr>
        <w:tc>
          <w:tcPr>
            <w:tcW w:type="dxa" w:w="1728"/>
            <w:vAlign w:val="center"/>
          </w:tcPr>
          <w:p>
            <w:pPr>
              <w:spacing w:before="60" w:after="60" w:line="259" w:lineRule="auto"/>
            </w:pPr>
            <w:r>
              <w:rPr>
                <w:b w:val="0"/>
                <w:sz w:val="20"/>
              </w:rPr>
              <w:t>执行与修复</w:t>
            </w:r>
          </w:p>
        </w:tc>
        <w:tc>
          <w:tcPr>
            <w:tcW w:type="dxa" w:w="8266"/>
            <w:vAlign w:val="center"/>
          </w:tcPr>
          <w:p>
            <w:pPr>
              <w:spacing w:before="60" w:after="60" w:line="259" w:lineRule="auto"/>
            </w:pPr>
            <w:r>
              <w:rPr>
                <w:b w:val="0"/>
                <w:sz w:val="20"/>
              </w:rPr>
              <w:t>RFC017/020/023/024/026—029/031；executions/simulation/execution_repair/repair证据</w:t>
            </w:r>
          </w:p>
        </w:tc>
      </w:tr>
      <w:tr>
        <w:trPr>
          <w:cantSplit/>
        </w:trPr>
        <w:tc>
          <w:tcPr>
            <w:tcW w:type="dxa" w:w="1728"/>
            <w:vAlign w:val="center"/>
          </w:tcPr>
          <w:p>
            <w:pPr>
              <w:spacing w:before="60" w:after="60" w:line="259" w:lineRule="auto"/>
            </w:pPr>
            <w:r>
              <w:rPr>
                <w:b w:val="0"/>
                <w:sz w:val="20"/>
              </w:rPr>
              <w:t>资源与诊断</w:t>
            </w:r>
          </w:p>
        </w:tc>
        <w:tc>
          <w:tcPr>
            <w:tcW w:type="dxa" w:w="8266"/>
            <w:vAlign w:val="center"/>
          </w:tcPr>
          <w:p>
            <w:pPr>
              <w:spacing w:before="60" w:after="60" w:line="259" w:lineRule="auto"/>
            </w:pPr>
            <w:r>
              <w:rPr>
                <w:b w:val="0"/>
                <w:sz w:val="20"/>
              </w:rPr>
              <w:t>RESOURCE_ANALYSIS、GROUND_RESOURCES、FROZEN_PARTITION、NOMINAL_ANALYSIS、CAPACITY_BOUNDS</w:t>
            </w:r>
          </w:p>
        </w:tc>
      </w:tr>
      <w:tr>
        <w:trPr>
          <w:cantSplit/>
        </w:trPr>
        <w:tc>
          <w:tcPr>
            <w:tcW w:type="dxa" w:w="1728"/>
            <w:vAlign w:val="center"/>
          </w:tcPr>
          <w:p>
            <w:pPr>
              <w:spacing w:before="60" w:after="60" w:line="259" w:lineRule="auto"/>
            </w:pPr>
            <w:r>
              <w:rPr>
                <w:b w:val="0"/>
                <w:sz w:val="20"/>
              </w:rPr>
              <w:t>气象与评测</w:t>
            </w:r>
          </w:p>
        </w:tc>
        <w:tc>
          <w:tcPr>
            <w:tcW w:type="dxa" w:w="8266"/>
            <w:vAlign w:val="center"/>
          </w:tcPr>
          <w:p>
            <w:pPr>
              <w:spacing w:before="60" w:after="60" w:line="259" w:lineRule="auto"/>
            </w:pPr>
            <w:r>
              <w:rPr>
                <w:b w:val="0"/>
                <w:sz w:val="20"/>
              </w:rPr>
              <w:t>RFC019/025/028；weather/experiments和对应测试</w:t>
            </w:r>
          </w:p>
        </w:tc>
      </w:tr>
      <w:tr>
        <w:trPr>
          <w:cantSplit/>
        </w:trPr>
        <w:tc>
          <w:tcPr>
            <w:tcW w:type="dxa" w:w="1728"/>
            <w:vAlign w:val="center"/>
          </w:tcPr>
          <w:p>
            <w:pPr>
              <w:spacing w:before="60" w:after="60" w:line="259" w:lineRule="auto"/>
            </w:pPr>
            <w:r>
              <w:rPr>
                <w:b w:val="0"/>
                <w:sz w:val="20"/>
              </w:rPr>
              <w:t>前端</w:t>
            </w:r>
          </w:p>
        </w:tc>
        <w:tc>
          <w:tcPr>
            <w:tcW w:type="dxa" w:w="8266"/>
            <w:vAlign w:val="center"/>
          </w:tcPr>
          <w:p>
            <w:pPr>
              <w:spacing w:before="60" w:after="60" w:line="259" w:lineRule="auto"/>
            </w:pPr>
            <w:r>
              <w:rPr>
                <w:b w:val="0"/>
                <w:sz w:val="20"/>
              </w:rPr>
              <w:t>本文14章、experience-v3/RESEARCH、VISUAL_REVIEW；operations入口与生成HTTP类型</w:t>
            </w:r>
          </w:p>
        </w:tc>
      </w:tr>
      <w:tr>
        <w:trPr>
          <w:cantSplit/>
        </w:trPr>
        <w:tc>
          <w:tcPr>
            <w:tcW w:type="dxa" w:w="1728"/>
            <w:vAlign w:val="center"/>
          </w:tcPr>
          <w:p>
            <w:pPr>
              <w:spacing w:before="60" w:after="60" w:line="259" w:lineRule="auto"/>
            </w:pPr>
            <w:r>
              <w:rPr>
                <w:b w:val="0"/>
                <w:sz w:val="20"/>
              </w:rPr>
              <w:t>发布与备份</w:t>
            </w:r>
          </w:p>
        </w:tc>
        <w:tc>
          <w:tcPr>
            <w:tcW w:type="dxa" w:w="8266"/>
            <w:vAlign w:val="center"/>
          </w:tcPr>
          <w:p>
            <w:pPr>
              <w:spacing w:before="60" w:after="60" w:line="259" w:lineRule="auto"/>
            </w:pPr>
            <w:r>
              <w:rPr>
                <w:b w:val="0"/>
                <w:sz w:val="20"/>
              </w:rPr>
              <w:t>LOCAL_OPERATIONS、当前TEST_REPORT；launch/build-info/backup</w:t>
            </w:r>
          </w:p>
        </w:tc>
      </w:tr>
    </w:tbl>
    <w:p>
      <w:pPr>
        <w:spacing w:after="20"/>
      </w:pPr>
    </w:p>
    <w:p>
      <w:r>
        <w:rPr>
          <w:rFonts w:ascii="Consolas" w:hAnsi="Consolas"/>
          <w:b w:val="0"/>
          <w:color w:val="234C54"/>
          <w:sz w:val="20"/>
        </w:rPr>
        <w:t>docs/CODEX_MASTER_HANDOFF.md</w:t>
      </w:r>
      <w:r>
        <w:rPr>
          <w:b w:val="0"/>
        </w:rPr>
        <w:t>和</w:t>
      </w:r>
      <w:r>
        <w:rPr>
          <w:rFonts w:ascii="Consolas" w:hAnsi="Consolas"/>
          <w:b w:val="0"/>
          <w:color w:val="234C54"/>
          <w:sz w:val="20"/>
        </w:rPr>
        <w:t>docs/INTEGRATION_PACT.md</w:t>
      </w:r>
      <w:r>
        <w:rPr>
          <w:b w:val="0"/>
        </w:rPr>
        <w:t>保留完整功能追踪；</w:t>
      </w:r>
      <w:r>
        <w:rPr>
          <w:rFonts w:ascii="Consolas" w:hAnsi="Consolas"/>
          <w:b w:val="0"/>
          <w:color w:val="234C54"/>
          <w:sz w:val="20"/>
        </w:rPr>
        <w:t>docs/redesign-v2/</w:t>
      </w:r>
      <w:r>
        <w:rPr>
          <w:b w:val="0"/>
        </w:rPr>
        <w:t>保留重构目标；它们不能把尚未完成能力变成已完成，也不能恢复过时三人分工。原始Word、论文、讨论和历史交接不删除，但不能优先于当前用户指示和实际已确认合同。</w:t>
      </w:r>
    </w:p>
    <w:p>
      <w:pPr>
        <w:pStyle w:val="Heading1"/>
      </w:pPr>
      <w:r>
        <w:t>21 可直接交给队友Codex的提示词</w:t>
      </w:r>
    </w:p>
    <w:p>
      <w:r>
        <w:rPr>
          <w:b w:val="0"/>
        </w:rPr>
        <w:t>下面这段既可发给一个全新窗口，也可让队友在自己的clone里使用。先替换最后的具体任务，避免只发送“继续优化”导致范围不明。</w:t>
      </w:r>
    </w:p>
    <w:p>
      <w:pPr>
        <w:spacing w:after="40" w:line="252" w:lineRule="auto"/>
      </w:pPr>
      <w:r>
        <w:rPr>
          <w:rFonts w:ascii="Arial" w:hAnsi="Arial" w:eastAsia="微软雅黑"/>
          <w:sz w:val="21"/>
        </w:rPr>
        <w:t>你正在接手援航无人机救援调度项目。你没有前置记忆，请根据仓库真实状态工作。</w:t>
      </w:r>
    </w:p>
    <w:p>
      <w:pPr>
        <w:spacing w:after="0"/>
      </w:pPr>
    </w:p>
    <w:p>
      <w:pPr>
        <w:spacing w:after="40" w:line="252" w:lineRule="auto"/>
      </w:pPr>
      <w:r>
        <w:rPr>
          <w:rFonts w:ascii="Arial" w:hAnsi="Arial" w:eastAsia="微软雅黑"/>
          <w:sz w:val="21"/>
        </w:rPr>
        <w:t>一、先确认仓库、Git分支、未提交修改和最新提交，不重置、清理或覆盖他人文件。</w:t>
      </w:r>
    </w:p>
    <w:p>
      <w:pPr>
        <w:spacing w:after="40" w:line="252" w:lineRule="auto"/>
      </w:pPr>
      <w:r>
        <w:rPr>
          <w:rFonts w:ascii="Arial" w:hAnsi="Arial" w:eastAsia="微软雅黑"/>
          <w:sz w:val="21"/>
        </w:rPr>
        <w:t>当前产品基线为feat/mission-command-v4；若已合并或有更新，以本地/远端实际状态为准，</w:t>
      </w:r>
    </w:p>
    <w:p>
      <w:pPr>
        <w:spacing w:after="40" w:line="252" w:lineRule="auto"/>
      </w:pPr>
      <w:r>
        <w:rPr>
          <w:rFonts w:ascii="Arial" w:hAnsi="Arial" w:eastAsia="微软雅黑"/>
          <w:sz w:val="21"/>
        </w:rPr>
        <w:t>不要自动checkout旧提交。先阅读docs/PROJECT_DOSSIER.md，建立完整项目理解。</w:t>
      </w:r>
    </w:p>
    <w:p>
      <w:pPr>
        <w:spacing w:after="0"/>
      </w:pPr>
    </w:p>
    <w:p>
      <w:pPr>
        <w:spacing w:after="40" w:line="252" w:lineRule="auto"/>
      </w:pPr>
      <w:r>
        <w:rPr>
          <w:rFonts w:ascii="Arial" w:hAnsi="Arial" w:eastAsia="微软雅黑"/>
          <w:sz w:val="21"/>
        </w:rPr>
        <w:t>二、依次阅读根AGENTS.md、所属模块AGENTS.md、README.md、CONTRIBUTING.md、</w:t>
      </w:r>
    </w:p>
    <w:p>
      <w:pPr>
        <w:spacing w:after="40" w:line="252" w:lineRule="auto"/>
      </w:pPr>
      <w:r>
        <w:rPr>
          <w:rFonts w:ascii="Arial" w:hAnsi="Arial" w:eastAsia="微软雅黑"/>
          <w:sz w:val="21"/>
        </w:rPr>
        <w:t>docs/IMPLEMENTATION_STATUS.md、evidence/experience-v4/HANDOFF.md与KNOWN_LIMITATIONS.md，</w:t>
      </w:r>
    </w:p>
    <w:p>
      <w:pPr>
        <w:spacing w:after="40" w:line="252" w:lineRule="auto"/>
      </w:pPr>
      <w:r>
        <w:rPr>
          <w:rFonts w:ascii="Arial" w:hAnsi="Arial" w:eastAsia="微软雅黑"/>
          <w:sz w:val="21"/>
        </w:rPr>
        <w:t>再读取docs/task-board.json。只对当前任务精读相关Schema、实际OpenAPI、RFC、源码和测试。</w:t>
      </w:r>
    </w:p>
    <w:p>
      <w:pPr>
        <w:spacing w:after="40" w:line="252" w:lineRule="auto"/>
      </w:pPr>
      <w:r>
        <w:rPr>
          <w:rFonts w:ascii="Arial" w:hAnsi="Arial" w:eastAsia="微软雅黑"/>
          <w:sz w:val="21"/>
        </w:rPr>
        <w:t>不要从G0重新搭框架，不把历史三页/九页描述当当前四阶段入口，不沿用三人分工。</w:t>
      </w:r>
    </w:p>
    <w:p>
      <w:pPr>
        <w:spacing w:after="0"/>
      </w:pPr>
    </w:p>
    <w:p>
      <w:pPr>
        <w:spacing w:after="40" w:line="252" w:lineRule="auto"/>
      </w:pPr>
      <w:r>
        <w:rPr>
          <w:rFonts w:ascii="Arial" w:hAnsi="Arial" w:eastAsia="微软雅黑"/>
          <w:sz w:val="21"/>
        </w:rPr>
        <w:t>三、长期两人协作：A负责solver/和算法、兼项目负责人；B由同一人负责frontend/、backend/、</w:t>
      </w:r>
    </w:p>
    <w:p>
      <w:pPr>
        <w:spacing w:after="40" w:line="252" w:lineRule="auto"/>
      </w:pPr>
      <w:r>
        <w:rPr>
          <w:rFonts w:ascii="Arial" w:hAnsi="Arial" w:eastAsia="微软雅黑"/>
          <w:sz w:val="21"/>
        </w:rPr>
        <w:t>数据与集成。历史B-*和C-*任务均归B。本次只实施用户下面明确提出的工作，</w:t>
      </w:r>
    </w:p>
    <w:p>
      <w:pPr>
        <w:spacing w:after="40" w:line="252" w:lineRule="auto"/>
      </w:pPr>
      <w:r>
        <w:rPr>
          <w:rFonts w:ascii="Arial" w:hAnsi="Arial" w:eastAsia="微软雅黑"/>
          <w:sz w:val="21"/>
        </w:rPr>
        <w:t>不将过去夜间全栈授权当作以后任意跨模块的永久许可。</w:t>
      </w:r>
    </w:p>
    <w:p>
      <w:pPr>
        <w:spacing w:after="0"/>
      </w:pPr>
    </w:p>
    <w:p>
      <w:pPr>
        <w:spacing w:after="40" w:line="252" w:lineRule="auto"/>
      </w:pPr>
      <w:r>
        <w:rPr>
          <w:rFonts w:ascii="Arial" w:hAnsi="Arial" w:eastAsia="微软雅黑"/>
          <w:sz w:val="21"/>
        </w:rPr>
        <w:t>四、保持真实链路和边界：Plan/Snapshot不覆盖；所有展示绑定原Snapshot；</w:t>
      </w:r>
    </w:p>
    <w:p>
      <w:pPr>
        <w:spacing w:after="40" w:line="252" w:lineRule="auto"/>
      </w:pPr>
      <w:r>
        <w:rPr>
          <w:rFonts w:ascii="Arial" w:hAnsi="Arial" w:eastAsia="微软雅黑"/>
          <w:sz w:val="21"/>
        </w:rPr>
        <w:t>Mock/历史/本次Solver/模拟实况分开；null不等于0；新界面tradeoff_v2、旧缺省v1保持兼容。</w:t>
      </w:r>
    </w:p>
    <w:p>
      <w:pPr>
        <w:spacing w:after="40" w:line="252" w:lineRule="auto"/>
      </w:pPr>
      <w:r>
        <w:rPr>
          <w:rFonts w:ascii="Arial" w:hAnsi="Arial" w:eastAsia="微软雅黑"/>
          <w:sz w:val="21"/>
        </w:rPr>
        <w:t>当前仅业务仿真，无真机/SITL/多用户登录，不把时间能耗折中称公平或人民币成本。</w:t>
      </w:r>
    </w:p>
    <w:p>
      <w:pPr>
        <w:spacing w:after="40" w:line="252" w:lineRule="auto"/>
      </w:pPr>
      <w:r>
        <w:rPr>
          <w:rFonts w:ascii="Arial" w:hAnsi="Arial" w:eastAsia="微软雅黑"/>
          <w:sz w:val="21"/>
        </w:rPr>
        <w:t>在途修复保留已交付与已开始完整架次，不能把全部设备重置从头求解；</w:t>
      </w:r>
    </w:p>
    <w:p>
      <w:pPr>
        <w:spacing w:after="40" w:line="252" w:lineRule="auto"/>
      </w:pPr>
      <w:r>
        <w:rPr>
          <w:rFonts w:ascii="Arial" w:hAnsi="Arial" w:eastAsia="微软雅黑"/>
          <w:sz w:val="21"/>
        </w:rPr>
        <w:t>通信联合在途修复、训练学习、完整风场与多基地仍有明确未完成边界。</w:t>
      </w:r>
    </w:p>
    <w:p>
      <w:pPr>
        <w:spacing w:after="40" w:line="252" w:lineRule="auto"/>
      </w:pPr>
      <w:r>
        <w:rPr>
          <w:rFonts w:ascii="Arial" w:hAnsi="Arial" w:eastAsia="微软雅黑"/>
          <w:sz w:val="21"/>
        </w:rPr>
        <w:t>V4的EOH为可选本地评分提供器，内置包来源是规则初始化；不伪称已跑LLM进化或通用提升。</w:t>
      </w:r>
    </w:p>
    <w:p>
      <w:pPr>
        <w:spacing w:after="40" w:line="252" w:lineRule="auto"/>
      </w:pPr>
      <w:r>
        <w:rPr>
          <w:rFonts w:ascii="Arial" w:hAnsi="Arial" w:eastAsia="微软雅黑"/>
          <w:sz w:val="21"/>
        </w:rPr>
        <w:t>先读第24章与RFC-032，再改引擎/策略包/案例来源；不在正常求解中调用模型。</w:t>
      </w:r>
    </w:p>
    <w:p>
      <w:pPr>
        <w:spacing w:after="0"/>
      </w:pPr>
    </w:p>
    <w:p>
      <w:pPr>
        <w:spacing w:after="40" w:line="252" w:lineRule="auto"/>
      </w:pPr>
      <w:r>
        <w:rPr>
          <w:rFonts w:ascii="Arial" w:hAnsi="Arial" w:eastAsia="微软雅黑"/>
          <w:sz w:val="21"/>
        </w:rPr>
        <w:t>五、修改接口先记录字段/单位/旧新映射和兼容RFC，同步Schema/操作DTO/实际OpenAPI/生成TS/</w:t>
      </w:r>
    </w:p>
    <w:p>
      <w:pPr>
        <w:spacing w:after="40" w:line="252" w:lineRule="auto"/>
      </w:pPr>
      <w:r>
        <w:rPr>
          <w:rFonts w:ascii="Arial" w:hAnsi="Arial" w:eastAsia="微软雅黑"/>
          <w:sz w:val="21"/>
        </w:rPr>
        <w:t>样例/消费者与必要测试，不用any绕过。不要手改生成文件或代替A/B批准草案。</w:t>
      </w:r>
    </w:p>
    <w:p>
      <w:pPr>
        <w:spacing w:after="40" w:line="252" w:lineRule="auto"/>
      </w:pPr>
      <w:r>
        <w:rPr>
          <w:rFonts w:ascii="Arial" w:hAnsi="Arial" w:eastAsia="微软雅黑"/>
          <w:sz w:val="21"/>
        </w:rPr>
        <w:t>使用独立任务分支，不直接改main、不强推；数据runtime/、依赖、密钥不提交。</w:t>
      </w:r>
    </w:p>
    <w:p>
      <w:pPr>
        <w:spacing w:after="40" w:line="252" w:lineRule="auto"/>
      </w:pPr>
      <w:r>
        <w:rPr>
          <w:rFonts w:ascii="Arial" w:hAnsi="Arial" w:eastAsia="微软雅黑"/>
          <w:sz w:val="21"/>
        </w:rPr>
        <w:t>不连接真实设备、收费服务或进行管理员级修改。</w:t>
      </w:r>
    </w:p>
    <w:p>
      <w:pPr>
        <w:spacing w:after="0"/>
      </w:pPr>
    </w:p>
    <w:p>
      <w:pPr>
        <w:spacing w:after="40" w:line="252" w:lineRule="auto"/>
      </w:pPr>
      <w:r>
        <w:rPr>
          <w:rFonts w:ascii="Arial" w:hAnsi="Arial" w:eastAsia="微软雅黑"/>
          <w:sz w:val="21"/>
        </w:rPr>
        <w:t>六、先简要说明当前实现与本次修改点，随后实际编码。复用正确功能，</w:t>
      </w:r>
    </w:p>
    <w:p>
      <w:pPr>
        <w:spacing w:after="40" w:line="252" w:lineRule="auto"/>
      </w:pPr>
      <w:r>
        <w:rPr>
          <w:rFonts w:ascii="Arial" w:hAnsi="Arial" w:eastAsia="微软雅黑"/>
          <w:sz w:val="21"/>
        </w:rPr>
        <w:t>按变更影响做必要检查，不反复跑无关全量回归；前端需运行并查看有真实数据的页面，</w:t>
      </w:r>
    </w:p>
    <w:p>
      <w:pPr>
        <w:spacing w:after="40" w:line="252" w:lineRule="auto"/>
      </w:pPr>
      <w:r>
        <w:rPr>
          <w:rFonts w:ascii="Arial" w:hAnsi="Arial" w:eastAsia="微软雅黑"/>
          <w:sz w:val="21"/>
        </w:rPr>
        <w:t>接口改动需验证消费者；测试使用隔离runtime，不写生产数据。</w:t>
      </w:r>
    </w:p>
    <w:p>
      <w:pPr>
        <w:spacing w:after="40" w:line="252" w:lineRule="auto"/>
      </w:pPr>
      <w:r>
        <w:rPr>
          <w:rFonts w:ascii="Arial" w:hAnsi="Arial" w:eastAsia="微软雅黑"/>
          <w:sz w:val="21"/>
        </w:rPr>
        <w:t>若遇真正阻塞，记录具体原因与解除条件，继续可独立推进部分。</w:t>
      </w:r>
    </w:p>
    <w:p>
      <w:pPr>
        <w:spacing w:after="0"/>
      </w:pPr>
    </w:p>
    <w:p>
      <w:pPr>
        <w:spacing w:after="40" w:line="252" w:lineRule="auto"/>
      </w:pPr>
      <w:r>
        <w:rPr>
          <w:rFonts w:ascii="Arial" w:hAnsi="Arial" w:eastAsia="微软雅黑"/>
          <w:sz w:val="21"/>
        </w:rPr>
        <w:t>七、交付时说明实际改动、接口影响、运行方式、已运行检查与未验证范围，</w:t>
      </w:r>
    </w:p>
    <w:p>
      <w:pPr>
        <w:spacing w:after="40" w:line="252" w:lineRule="auto"/>
      </w:pPr>
      <w:r>
        <w:rPr>
          <w:rFonts w:ascii="Arial" w:hAnsi="Arial" w:eastAsia="微软雅黑"/>
          <w:sz w:val="21"/>
        </w:rPr>
        <w:t>更新唯一任务板和真实状态；涉及本文事实变化同步docs/PROJECT_DOSSIER.md。</w:t>
      </w:r>
    </w:p>
    <w:p>
      <w:pPr>
        <w:spacing w:after="40" w:line="252" w:lineRule="auto"/>
      </w:pPr>
      <w:r>
        <w:rPr>
          <w:rFonts w:ascii="Arial" w:hAnsi="Arial" w:eastAsia="微软雅黑"/>
          <w:sz w:val="21"/>
        </w:rPr>
        <w:t>未经实现/实跑不能把规划写成完成，结束前保留清晰Git状态和下一步入口。</w:t>
      </w:r>
    </w:p>
    <w:p>
      <w:pPr>
        <w:spacing w:after="0"/>
      </w:pPr>
    </w:p>
    <w:p>
      <w:pPr>
        <w:spacing w:after="40" w:line="252" w:lineRule="auto"/>
      </w:pPr>
      <w:r>
        <w:rPr>
          <w:rFonts w:ascii="Arial" w:hAnsi="Arial" w:eastAsia="微软雅黑"/>
          <w:sz w:val="21"/>
        </w:rPr>
        <w:t>本次具体任务：在这里填写要解决的问题、允许修改的模块和可观察的验收结果。</w:t>
      </w:r>
    </w:p>
    <w:p>
      <w:r>
        <w:rPr>
          <w:b w:val="0"/>
        </w:rPr>
        <w:t>如果仅交给另一个聊天窗口写本子，发送本文和需要的申报模板即可，要求按“现有基础、当前完成、拟研究工作”分开撰写；没有源码访问能力的窗口不应自行补造性能、用户规模、实飞和AI训练结果。</w:t>
      </w:r>
    </w:p>
    <w:p>
      <w:pPr>
        <w:pStyle w:val="Heading1"/>
      </w:pPr>
      <w:r>
        <w:t>22 后续工作与文档维护约定</w:t>
      </w:r>
    </w:p>
    <w:p>
      <w:pPr>
        <w:pStyle w:val="Heading2"/>
      </w:pPr>
      <w:r>
        <w:t>22.1 当前后续工作</w:t>
      </w:r>
    </w:p>
    <w:p>
      <w:r>
        <w:rPr>
          <w:b w:val="0"/>
        </w:rPr>
        <w:t>优先级由任务板和用户新任务决定，不按旧日期排期。可继续完善一般联合搜索、在途通信修复、跨地图/连续事件对照、独立真实演练数据、学习辅助样本和消融、风致能源与不确定性、外部建图、SITL/厂商适配、多基地和完整申报交付。实际设备需要单独许可、能力与测试环境，不能仅因已有Adapter抽象就标成完成。</w:t>
      </w:r>
    </w:p>
    <w:p>
      <w:r>
        <w:rPr>
          <w:b w:val="0"/>
        </w:rPr>
        <w:t>今后如果申报“学习优化”“鲁棒调度”或“闭环飞控”为核心，应先补齐相应实现与验证，再更新本文；现阶段更有依据的主线是可追溯运输通信规划、资源依赖与承诺保留修复、可解释资源决策及可运行演练系统。</w:t>
      </w:r>
    </w:p>
    <w:p>
      <w:pPr>
        <w:pStyle w:val="Heading2"/>
      </w:pPr>
      <w:r>
        <w:t>22.2 日常检查和类型同步</w:t>
      </w:r>
    </w:p>
    <w:p>
      <w:r>
        <w:rPr>
          <w:b w:val="0"/>
        </w:rPr>
        <w:t>按修改选择模块测试，文档整理不需要重新求解所有案例。常用入口为：</w:t>
      </w:r>
    </w:p>
    <w:p>
      <w:pPr>
        <w:keepNext/>
        <w:spacing w:after="40" w:line="252" w:lineRule="auto"/>
      </w:pPr>
      <w:r>
        <w:rPr>
          <w:rFonts w:ascii="Consolas" w:hAnsi="Consolas" w:eastAsia="微软雅黑"/>
          <w:sz w:val="19"/>
        </w:rPr>
        <w:t>.venv/Scripts/python scripts/check_contracts.py</w:t>
      </w:r>
    </w:p>
    <w:p>
      <w:pPr>
        <w:keepNext/>
        <w:spacing w:after="40" w:line="252" w:lineRule="auto"/>
      </w:pPr>
      <w:r>
        <w:rPr>
          <w:rFonts w:ascii="Consolas" w:hAnsi="Consolas" w:eastAsia="微软雅黑"/>
          <w:sz w:val="19"/>
        </w:rPr>
        <w:t>.venv/Scripts/python scripts/check_governance.py</w:t>
      </w:r>
    </w:p>
    <w:p>
      <w:pPr>
        <w:keepNext/>
        <w:spacing w:after="40" w:line="252" w:lineRule="auto"/>
      </w:pPr>
      <w:r>
        <w:rPr>
          <w:rFonts w:ascii="Consolas" w:hAnsi="Consolas" w:eastAsia="微软雅黑"/>
          <w:sz w:val="19"/>
        </w:rPr>
        <w:t>npm.cmd --prefix frontend run typecheck</w:t>
      </w:r>
    </w:p>
    <w:p>
      <w:pPr>
        <w:keepNext/>
        <w:spacing w:after="40" w:line="252" w:lineRule="auto"/>
      </w:pPr>
      <w:r>
        <w:rPr>
          <w:rFonts w:ascii="Consolas" w:hAnsi="Consolas" w:eastAsia="微软雅黑"/>
          <w:sz w:val="19"/>
        </w:rPr>
        <w:t>npm.cmd --prefix frontend run lint</w:t>
      </w:r>
    </w:p>
    <w:p>
      <w:pPr>
        <w:keepNext w:val="0"/>
        <w:spacing w:after="40" w:line="252" w:lineRule="auto"/>
      </w:pPr>
      <w:r>
        <w:rPr>
          <w:rFonts w:ascii="Consolas" w:hAnsi="Consolas" w:eastAsia="微软雅黑"/>
          <w:sz w:val="19"/>
        </w:rPr>
        <w:t>npm.cmd --prefix frontend run test:unit</w:t>
      </w:r>
    </w:p>
    <w:p>
      <w:r>
        <w:rPr>
          <w:b w:val="0"/>
        </w:rPr>
        <w:t>接口变化后的生成链为：</w:t>
      </w:r>
    </w:p>
    <w:p>
      <w:pPr>
        <w:keepNext/>
        <w:spacing w:after="40" w:line="252" w:lineRule="auto"/>
      </w:pPr>
      <w:r>
        <w:rPr>
          <w:rFonts w:ascii="Consolas" w:hAnsi="Consolas" w:eastAsia="微软雅黑"/>
          <w:sz w:val="19"/>
        </w:rPr>
        <w:t>.venv/Scripts/python scripts/generate_models.py</w:t>
      </w:r>
    </w:p>
    <w:p>
      <w:pPr>
        <w:keepNext/>
        <w:spacing w:after="40" w:line="252" w:lineRule="auto"/>
      </w:pPr>
      <w:r>
        <w:rPr>
          <w:rFonts w:ascii="Consolas" w:hAnsi="Consolas" w:eastAsia="微软雅黑"/>
          <w:sz w:val="19"/>
        </w:rPr>
        <w:t>.venv/Scripts/python scripts/export_operations.py</w:t>
      </w:r>
    </w:p>
    <w:p>
      <w:pPr>
        <w:keepNext/>
        <w:spacing w:after="40" w:line="252" w:lineRule="auto"/>
      </w:pPr>
      <w:r>
        <w:rPr>
          <w:rFonts w:ascii="Consolas" w:hAnsi="Consolas" w:eastAsia="微软雅黑"/>
          <w:sz w:val="19"/>
        </w:rPr>
        <w:t>.venv/Scripts/python scripts/export_openapi.py</w:t>
      </w:r>
    </w:p>
    <w:p>
      <w:pPr>
        <w:keepNext w:val="0"/>
        <w:spacing w:after="40" w:line="252" w:lineRule="auto"/>
      </w:pPr>
      <w:r>
        <w:rPr>
          <w:rFonts w:ascii="Consolas" w:hAnsi="Consolas" w:eastAsia="微软雅黑"/>
          <w:sz w:val="19"/>
        </w:rPr>
        <w:t>node frontend/scripts/generate-types.mjs</w:t>
      </w:r>
    </w:p>
    <w:p>
      <w:r>
        <w:rPr>
          <w:b w:val="0"/>
        </w:rPr>
        <w:t>需要全量回归时使用README真实入口；浏览器测试使用隔离端口和库。通过旧测试不等于新场景物理可行，build成功不等于页面可用。准确记录源码身份、命令、结果和未运行项目。</w:t>
      </w:r>
    </w:p>
    <w:p>
      <w:pPr>
        <w:pStyle w:val="Heading2"/>
      </w:pPr>
      <w:r>
        <w:t>22.3 文档维护</w:t>
      </w:r>
    </w:p>
    <w:p>
      <w:r>
        <w:rPr>
          <w:b w:val="0"/>
        </w:rPr>
        <w:t>本文件为当前整体说明主源，Word由它生成。修改事实后先改Markdown，再重新生成Word，避免两套文档分叉。任务状态仍以</w:t>
      </w:r>
      <w:r>
        <w:rPr>
          <w:rFonts w:ascii="Consolas" w:hAnsi="Consolas"/>
          <w:b w:val="0"/>
          <w:color w:val="234C54"/>
          <w:sz w:val="20"/>
        </w:rPr>
        <w:t>docs/task-board.json</w:t>
      </w:r>
      <w:r>
        <w:rPr>
          <w:b w:val="0"/>
        </w:rPr>
        <w:t>为唯一机器来源，Markdown任务板用脚本生成；契约仍以Schema/实际OpenAPI和受控生成链为准，本文不能成为第二套接口定义。</w:t>
      </w:r>
    </w:p>
    <w:p>
      <w:r>
        <w:rPr>
          <w:b w:val="0"/>
        </w:rPr>
        <w:t>每次重要交付记录：日期、基线commit、输入和模型变化、能力与限制、证据位置、接口兼容、下一项任务。后续尚未重新验证的旧成果保留原时间与范围，不擦去历史失败，也不把本次未运行的检查写成已通过。</w:t>
      </w:r>
    </w:p>
    <w:p>
      <w:pPr>
        <w:pStyle w:val="Heading1"/>
      </w:pPr>
      <w:r>
        <w:t>23 术语 来源与事实核对说明</w:t>
      </w:r>
    </w:p>
    <w:p>
      <w:pPr>
        <w:pStyle w:val="Heading2"/>
      </w:pPr>
      <w:r>
        <w:t>23.1 常用术语</w:t>
      </w:r>
    </w:p>
    <w:tbl>
      <w:tblPr>
        <w:tblStyle w:val="TableGrid"/>
        <w:tblW w:type="auto" w:w="0"/>
        <w:jc w:val="center"/>
        <w:tblLayout w:type="fixed"/>
        <w:tblLook w:firstColumn="1" w:firstRow="1" w:lastColumn="0" w:lastRow="0" w:noHBand="0" w:noVBand="1" w:val="04A0"/>
      </w:tblPr>
      <w:tblGrid>
        <w:gridCol w:w="4997"/>
        <w:gridCol w:w="4997"/>
      </w:tblGrid>
      <w:tr>
        <w:trPr>
          <w:tblHeader/>
          <w:cantSplit/>
        </w:trPr>
        <w:tc>
          <w:tcPr>
            <w:tcW w:type="dxa" w:w="4997"/>
            <w:vAlign w:val="center"/>
            <w:shd w:fill="EAF0F0"/>
          </w:tcPr>
          <w:p>
            <w:pPr>
              <w:keepNext/>
              <w:spacing w:before="60" w:after="60" w:line="259" w:lineRule="auto"/>
            </w:pPr>
            <w:r>
              <w:rPr>
                <w:b/>
                <w:sz w:val="20"/>
              </w:rPr>
              <w:t>术语</w:t>
            </w:r>
          </w:p>
        </w:tc>
        <w:tc>
          <w:tcPr>
            <w:tcW w:type="dxa" w:w="4997"/>
            <w:vAlign w:val="center"/>
            <w:shd w:fill="EAF0F0"/>
          </w:tcPr>
          <w:p>
            <w:pPr>
              <w:keepNext/>
              <w:spacing w:before="60" w:after="60" w:line="259" w:lineRule="auto"/>
            </w:pPr>
            <w:r>
              <w:rPr>
                <w:b/>
                <w:sz w:val="20"/>
              </w:rPr>
              <w:t>通俗含义</w:t>
            </w:r>
          </w:p>
        </w:tc>
      </w:tr>
      <w:tr>
        <w:trPr>
          <w:cantSplit/>
        </w:trPr>
        <w:tc>
          <w:tcPr>
            <w:tcW w:type="dxa" w:w="4997"/>
            <w:vAlign w:val="center"/>
          </w:tcPr>
          <w:p>
            <w:pPr>
              <w:spacing w:before="60" w:after="60" w:line="259" w:lineRule="auto"/>
            </w:pPr>
            <w:r>
              <w:rPr>
                <w:b w:val="0"/>
                <w:sz w:val="20"/>
              </w:rPr>
              <w:t>架次Sortie</w:t>
            </w:r>
          </w:p>
        </w:tc>
        <w:tc>
          <w:tcPr>
            <w:tcW w:type="dxa" w:w="4997"/>
            <w:vAlign w:val="center"/>
          </w:tcPr>
          <w:p>
            <w:pPr>
              <w:spacing w:before="60" w:after="60" w:line="259" w:lineRule="auto"/>
            </w:pPr>
            <w:r>
              <w:rPr>
                <w:b w:val="0"/>
                <w:sz w:val="20"/>
              </w:rPr>
              <w:t>从一次准备出发，到按访问顺序交付并返航的一趟任务</w:t>
            </w:r>
          </w:p>
        </w:tc>
      </w:tr>
      <w:tr>
        <w:trPr>
          <w:cantSplit/>
        </w:trPr>
        <w:tc>
          <w:tcPr>
            <w:tcW w:type="dxa" w:w="4997"/>
            <w:vAlign w:val="center"/>
          </w:tcPr>
          <w:p>
            <w:pPr>
              <w:spacing w:before="60" w:after="60" w:line="259" w:lineRule="auto"/>
            </w:pPr>
            <w:r>
              <w:rPr>
                <w:b w:val="0"/>
                <w:sz w:val="20"/>
              </w:rPr>
              <w:t>最后交付/最后返航</w:t>
            </w:r>
          </w:p>
        </w:tc>
        <w:tc>
          <w:tcPr>
            <w:tcW w:type="dxa" w:w="4997"/>
            <w:vAlign w:val="center"/>
          </w:tcPr>
          <w:p>
            <w:pPr>
              <w:spacing w:before="60" w:after="60" w:line="259" w:lineRule="auto"/>
            </w:pPr>
            <w:r>
              <w:rPr>
                <w:b w:val="0"/>
                <w:sz w:val="20"/>
              </w:rPr>
              <w:t>物资全部送完的时刻/机队相关任务最终返回的时刻，二者不同</w:t>
            </w:r>
          </w:p>
        </w:tc>
      </w:tr>
      <w:tr>
        <w:trPr>
          <w:cantSplit/>
        </w:trPr>
        <w:tc>
          <w:tcPr>
            <w:tcW w:type="dxa" w:w="4997"/>
            <w:vAlign w:val="center"/>
          </w:tcPr>
          <w:p>
            <w:pPr>
              <w:spacing w:before="60" w:after="60" w:line="259" w:lineRule="auto"/>
            </w:pPr>
            <w:r>
              <w:rPr>
                <w:b w:val="0"/>
                <w:sz w:val="20"/>
              </w:rPr>
              <w:t>SOC/SOH</w:t>
            </w:r>
          </w:p>
        </w:tc>
        <w:tc>
          <w:tcPr>
            <w:tcW w:type="dxa" w:w="4997"/>
            <w:vAlign w:val="center"/>
          </w:tcPr>
          <w:p>
            <w:pPr>
              <w:spacing w:before="60" w:after="60" w:line="259" w:lineRule="auto"/>
            </w:pPr>
            <w:r>
              <w:rPr>
                <w:b w:val="0"/>
                <w:sz w:val="20"/>
              </w:rPr>
              <w:t>当前剩余电量比例/电池健康容量比例</w:t>
            </w:r>
          </w:p>
        </w:tc>
      </w:tr>
      <w:tr>
        <w:trPr>
          <w:cantSplit/>
        </w:trPr>
        <w:tc>
          <w:tcPr>
            <w:tcW w:type="dxa" w:w="4997"/>
            <w:vAlign w:val="center"/>
          </w:tcPr>
          <w:p>
            <w:pPr>
              <w:spacing w:before="60" w:after="60" w:line="259" w:lineRule="auto"/>
            </w:pPr>
            <w:r>
              <w:rPr>
                <w:b w:val="0"/>
                <w:sz w:val="20"/>
              </w:rPr>
              <w:t>DEM/AGL/高程基准</w:t>
            </w:r>
          </w:p>
        </w:tc>
        <w:tc>
          <w:tcPr>
            <w:tcW w:type="dxa" w:w="4997"/>
            <w:vAlign w:val="center"/>
          </w:tcPr>
          <w:p>
            <w:pPr>
              <w:spacing w:before="60" w:after="60" w:line="259" w:lineRule="auto"/>
            </w:pPr>
            <w:r>
              <w:rPr>
                <w:b w:val="0"/>
                <w:sz w:val="20"/>
              </w:rPr>
              <w:t>地形高程栅格/相对当地地面的高度/绝对高度采用的参考</w:t>
            </w:r>
          </w:p>
        </w:tc>
      </w:tr>
      <w:tr>
        <w:trPr>
          <w:cantSplit/>
        </w:trPr>
        <w:tc>
          <w:tcPr>
            <w:tcW w:type="dxa" w:w="4997"/>
            <w:vAlign w:val="center"/>
          </w:tcPr>
          <w:p>
            <w:pPr>
              <w:spacing w:before="60" w:after="60" w:line="259" w:lineRule="auto"/>
            </w:pPr>
            <w:r>
              <w:rPr>
                <w:b w:val="0"/>
                <w:sz w:val="20"/>
              </w:rPr>
              <w:t>快照Snapshot</w:t>
            </w:r>
          </w:p>
        </w:tc>
        <w:tc>
          <w:tcPr>
            <w:tcW w:type="dxa" w:w="4997"/>
            <w:vAlign w:val="center"/>
          </w:tcPr>
          <w:p>
            <w:pPr>
              <w:spacing w:before="60" w:after="60" w:line="259" w:lineRule="auto"/>
            </w:pPr>
            <w:r>
              <w:rPr>
                <w:b w:val="0"/>
                <w:sz w:val="20"/>
              </w:rPr>
              <w:t>固定一次计算输入的不可变副本，不是屏幕截图</w:t>
            </w:r>
          </w:p>
        </w:tc>
      </w:tr>
      <w:tr>
        <w:trPr>
          <w:cantSplit/>
        </w:trPr>
        <w:tc>
          <w:tcPr>
            <w:tcW w:type="dxa" w:w="4997"/>
            <w:vAlign w:val="center"/>
          </w:tcPr>
          <w:p>
            <w:pPr>
              <w:spacing w:before="60" w:after="60" w:line="259" w:lineRule="auto"/>
            </w:pPr>
            <w:r>
              <w:rPr>
                <w:b w:val="0"/>
                <w:sz w:val="20"/>
              </w:rPr>
              <w:t>词典序</w:t>
            </w:r>
          </w:p>
        </w:tc>
        <w:tc>
          <w:tcPr>
            <w:tcW w:type="dxa" w:w="4997"/>
            <w:vAlign w:val="center"/>
          </w:tcPr>
          <w:p>
            <w:pPr>
              <w:spacing w:before="60" w:after="60" w:line="259" w:lineRule="auto"/>
            </w:pPr>
            <w:r>
              <w:rPr>
                <w:b w:val="0"/>
                <w:sz w:val="20"/>
              </w:rPr>
              <w:t>先比较第一目标，相同后才比较第二目标</w:t>
            </w:r>
          </w:p>
        </w:tc>
      </w:tr>
      <w:tr>
        <w:trPr>
          <w:cantSplit/>
        </w:trPr>
        <w:tc>
          <w:tcPr>
            <w:tcW w:type="dxa" w:w="4997"/>
            <w:vAlign w:val="center"/>
          </w:tcPr>
          <w:p>
            <w:pPr>
              <w:spacing w:before="60" w:after="60" w:line="259" w:lineRule="auto"/>
            </w:pPr>
            <w:r>
              <w:rPr>
                <w:b w:val="0"/>
                <w:sz w:val="20"/>
              </w:rPr>
              <w:t>CP-SAT</w:t>
            </w:r>
          </w:p>
        </w:tc>
        <w:tc>
          <w:tcPr>
            <w:tcW w:type="dxa" w:w="4997"/>
            <w:vAlign w:val="center"/>
          </w:tcPr>
          <w:p>
            <w:pPr>
              <w:spacing w:before="60" w:after="60" w:line="259" w:lineRule="auto"/>
            </w:pPr>
            <w:r>
              <w:rPr>
                <w:b w:val="0"/>
                <w:sz w:val="20"/>
              </w:rPr>
              <w:t>本项目用于有限离散排程的约束求解器，不等于深度学习</w:t>
            </w:r>
          </w:p>
        </w:tc>
      </w:tr>
      <w:tr>
        <w:trPr>
          <w:cantSplit/>
        </w:trPr>
        <w:tc>
          <w:tcPr>
            <w:tcW w:type="dxa" w:w="4997"/>
            <w:vAlign w:val="center"/>
          </w:tcPr>
          <w:p>
            <w:pPr>
              <w:spacing w:before="60" w:after="60" w:line="259" w:lineRule="auto"/>
            </w:pPr>
            <w:r>
              <w:rPr>
                <w:b w:val="0"/>
                <w:sz w:val="20"/>
              </w:rPr>
              <w:t>必要下界</w:t>
            </w:r>
          </w:p>
        </w:tc>
        <w:tc>
          <w:tcPr>
            <w:tcW w:type="dxa" w:w="4997"/>
            <w:vAlign w:val="center"/>
          </w:tcPr>
          <w:p>
            <w:pPr>
              <w:spacing w:before="60" w:after="60" w:line="259" w:lineRule="auto"/>
            </w:pPr>
            <w:r>
              <w:rPr>
                <w:b w:val="0"/>
                <w:sz w:val="20"/>
              </w:rPr>
              <w:t>任何可行安排至少需要达到的数量约束，不保证该数量就足够</w:t>
            </w:r>
          </w:p>
        </w:tc>
      </w:tr>
      <w:tr>
        <w:trPr>
          <w:cantSplit/>
        </w:trPr>
        <w:tc>
          <w:tcPr>
            <w:tcW w:type="dxa" w:w="4997"/>
            <w:vAlign w:val="center"/>
          </w:tcPr>
          <w:p>
            <w:pPr>
              <w:spacing w:before="60" w:after="60" w:line="259" w:lineRule="auto"/>
            </w:pPr>
            <w:r>
              <w:rPr>
                <w:b w:val="0"/>
                <w:sz w:val="20"/>
              </w:rPr>
              <w:t>执行承诺</w:t>
            </w:r>
          </w:p>
        </w:tc>
        <w:tc>
          <w:tcPr>
            <w:tcW w:type="dxa" w:w="4997"/>
            <w:vAlign w:val="center"/>
          </w:tcPr>
          <w:p>
            <w:pPr>
              <w:spacing w:before="60" w:after="60" w:line="259" w:lineRule="auto"/>
            </w:pPr>
            <w:r>
              <w:rPr>
                <w:b w:val="0"/>
                <w:sz w:val="20"/>
              </w:rPr>
              <w:t>已有装载等事实、当前不能撤销的完整架次和资源尾部</w:t>
            </w:r>
          </w:p>
        </w:tc>
      </w:tr>
      <w:tr>
        <w:trPr>
          <w:cantSplit/>
        </w:trPr>
        <w:tc>
          <w:tcPr>
            <w:tcW w:type="dxa" w:w="4997"/>
            <w:vAlign w:val="center"/>
          </w:tcPr>
          <w:p>
            <w:pPr>
              <w:spacing w:before="60" w:after="60" w:line="259" w:lineRule="auto"/>
            </w:pPr>
            <w:r>
              <w:rPr>
                <w:b w:val="0"/>
                <w:sz w:val="20"/>
              </w:rPr>
              <w:t>反事实试算</w:t>
            </w:r>
          </w:p>
        </w:tc>
        <w:tc>
          <w:tcPr>
            <w:tcW w:type="dxa" w:w="4997"/>
            <w:vAlign w:val="center"/>
          </w:tcPr>
          <w:p>
            <w:pPr>
              <w:spacing w:before="60" w:after="60" w:line="259" w:lineRule="auto"/>
            </w:pPr>
            <w:r>
              <w:rPr>
                <w:b w:val="0"/>
                <w:sz w:val="20"/>
              </w:rPr>
              <w:t>保留原输入，另建“增加资源或改变参数后会怎样”的真实计算</w:t>
            </w:r>
          </w:p>
        </w:tc>
      </w:tr>
      <w:tr>
        <w:trPr>
          <w:cantSplit/>
        </w:trPr>
        <w:tc>
          <w:tcPr>
            <w:tcW w:type="dxa" w:w="4997"/>
            <w:vAlign w:val="center"/>
          </w:tcPr>
          <w:p>
            <w:pPr>
              <w:spacing w:before="60" w:after="60" w:line="259" w:lineRule="auto"/>
            </w:pPr>
            <w:r>
              <w:rPr>
                <w:b w:val="0"/>
                <w:sz w:val="20"/>
              </w:rPr>
              <w:t>ACK/完成读回</w:t>
            </w:r>
          </w:p>
        </w:tc>
        <w:tc>
          <w:tcPr>
            <w:tcW w:type="dxa" w:w="4997"/>
            <w:vAlign w:val="center"/>
          </w:tcPr>
          <w:p>
            <w:pPr>
              <w:spacing w:before="60" w:after="60" w:line="259" w:lineRule="auto"/>
            </w:pPr>
            <w:r>
              <w:rPr>
                <w:b w:val="0"/>
                <w:sz w:val="20"/>
              </w:rPr>
              <w:t>收到指令的回执/从独立状态核对动作结果，不能混为一谈</w:t>
            </w:r>
          </w:p>
        </w:tc>
      </w:tr>
      <w:tr>
        <w:trPr>
          <w:cantSplit/>
        </w:trPr>
        <w:tc>
          <w:tcPr>
            <w:tcW w:type="dxa" w:w="4997"/>
            <w:vAlign w:val="center"/>
          </w:tcPr>
          <w:p>
            <w:pPr>
              <w:spacing w:before="60" w:after="60" w:line="259" w:lineRule="auto"/>
            </w:pPr>
            <w:r>
              <w:rPr>
                <w:b w:val="0"/>
                <w:sz w:val="20"/>
              </w:rPr>
              <w:t>SSE/事实游标</w:t>
            </w:r>
          </w:p>
        </w:tc>
        <w:tc>
          <w:tcPr>
            <w:tcW w:type="dxa" w:w="4997"/>
            <w:vAlign w:val="center"/>
          </w:tcPr>
          <w:p>
            <w:pPr>
              <w:spacing w:before="60" w:after="60" w:line="259" w:lineRule="auto"/>
            </w:pPr>
            <w:r>
              <w:rPr>
                <w:b w:val="0"/>
                <w:sz w:val="20"/>
              </w:rPr>
              <w:t>服务器向界面推送更新/用于断线续传的已保存事实位置</w:t>
            </w:r>
          </w:p>
        </w:tc>
      </w:tr>
      <w:tr>
        <w:trPr>
          <w:cantSplit/>
        </w:trPr>
        <w:tc>
          <w:tcPr>
            <w:tcW w:type="dxa" w:w="4997"/>
            <w:vAlign w:val="center"/>
          </w:tcPr>
          <w:p>
            <w:pPr>
              <w:spacing w:before="60" w:after="60" w:line="259" w:lineRule="auto"/>
            </w:pPr>
            <w:r>
              <w:rPr>
                <w:b w:val="0"/>
                <w:sz w:val="20"/>
              </w:rPr>
              <w:t>仿真/回放/真机</w:t>
            </w:r>
          </w:p>
        </w:tc>
        <w:tc>
          <w:tcPr>
            <w:tcW w:type="dxa" w:w="4997"/>
            <w:vAlign w:val="center"/>
          </w:tcPr>
          <w:p>
            <w:pPr>
              <w:spacing w:before="60" w:after="60" w:line="259" w:lineRule="auto"/>
            </w:pPr>
            <w:r>
              <w:rPr>
                <w:b w:val="0"/>
                <w:sz w:val="20"/>
              </w:rPr>
              <w:t>服务器模拟产生事实/只读历史事实/实际物理设备，当前只完成前两类</w:t>
            </w:r>
          </w:p>
        </w:tc>
      </w:tr>
    </w:tbl>
    <w:p>
      <w:pPr>
        <w:spacing w:after="20"/>
      </w:pPr>
    </w:p>
    <w:p>
      <w:pPr>
        <w:pStyle w:val="Heading2"/>
      </w:pPr>
      <w:r>
        <w:t>23.2 来源地图</w:t>
      </w:r>
    </w:p>
    <w:p>
      <w:r>
        <w:rPr>
          <w:b w:val="0"/>
        </w:rPr>
        <w:t>事实依据为本文代码基线的</w:t>
      </w:r>
      <w:r>
        <w:rPr>
          <w:rFonts w:ascii="Consolas" w:hAnsi="Consolas"/>
          <w:b w:val="0"/>
          <w:color w:val="234C54"/>
          <w:sz w:val="20"/>
        </w:rPr>
        <w:t>solver/</w:t>
      </w:r>
      <w:r>
        <w:rPr>
          <w:b w:val="0"/>
        </w:rPr>
        <w:t>、</w:t>
      </w:r>
      <w:r>
        <w:rPr>
          <w:rFonts w:ascii="Consolas" w:hAnsi="Consolas"/>
          <w:b w:val="0"/>
          <w:color w:val="234C54"/>
          <w:sz w:val="20"/>
        </w:rPr>
        <w:t>backend/app/</w:t>
      </w:r>
      <w:r>
        <w:rPr>
          <w:b w:val="0"/>
        </w:rPr>
        <w:t>、</w:t>
      </w:r>
      <w:r>
        <w:rPr>
          <w:rFonts w:ascii="Consolas" w:hAnsi="Consolas"/>
          <w:b w:val="0"/>
          <w:color w:val="234C54"/>
          <w:sz w:val="20"/>
        </w:rPr>
        <w:t>frontend/src/</w:t>
      </w:r>
      <w:r>
        <w:rPr>
          <w:b w:val="0"/>
        </w:rPr>
        <w:t>、共享契约、生成OpenAPI、V3/V4证据和原始只读资料。进一步定位：</w:t>
      </w:r>
    </w:p>
    <w:p>
      <w:pPr>
        <w:pStyle w:val="ListBullet"/>
      </w:pPr>
      <w:r>
        <w:rPr>
          <w:b w:val="0"/>
        </w:rPr>
        <w:t>原始目标：</w:t>
      </w:r>
      <w:r>
        <w:rPr>
          <w:rFonts w:ascii="Consolas" w:hAnsi="Consolas"/>
          <w:b w:val="0"/>
          <w:color w:val="234C54"/>
          <w:sz w:val="20"/>
        </w:rPr>
        <w:t>references/source/development-plan.docx</w:t>
      </w:r>
      <w:r>
        <w:rPr>
          <w:b w:val="0"/>
        </w:rPr>
        <w:t>及同目录提取文本。</w:t>
      </w:r>
    </w:p>
    <w:p>
      <w:pPr>
        <w:pStyle w:val="ListBullet"/>
      </w:pPr>
      <w:r>
        <w:rPr>
          <w:b w:val="0"/>
        </w:rPr>
        <w:t>原题与历史：</w:t>
      </w:r>
      <w:r>
        <w:rPr>
          <w:rFonts w:ascii="Consolas" w:hAnsi="Consolas"/>
          <w:b w:val="0"/>
          <w:color w:val="234C54"/>
          <w:sz w:val="20"/>
        </w:rPr>
        <w:t>references/modeling/README.md</w:t>
      </w:r>
      <w:r>
        <w:rPr>
          <w:b w:val="0"/>
        </w:rPr>
        <w:t>、</w:t>
      </w:r>
      <w:r>
        <w:rPr>
          <w:rFonts w:ascii="Consolas" w:hAnsi="Consolas"/>
          <w:b w:val="0"/>
          <w:color w:val="234C54"/>
          <w:sz w:val="20"/>
        </w:rPr>
        <w:t>paper.pdf</w:t>
      </w:r>
      <w:r>
        <w:rPr>
          <w:b w:val="0"/>
        </w:rPr>
        <w:t>、</w:t>
      </w:r>
      <w:r>
        <w:rPr>
          <w:rFonts w:ascii="Consolas" w:hAnsi="Consolas"/>
          <w:b w:val="0"/>
          <w:color w:val="234C54"/>
          <w:sz w:val="20"/>
        </w:rPr>
        <w:t>answers.xlsx</w:t>
      </w:r>
      <w:r>
        <w:rPr>
          <w:b w:val="0"/>
        </w:rPr>
        <w:t>，论文SHA256为</w:t>
      </w:r>
      <w:r>
        <w:rPr>
          <w:rFonts w:ascii="Consolas" w:hAnsi="Consolas"/>
          <w:b w:val="0"/>
          <w:color w:val="234C54"/>
          <w:sz w:val="20"/>
        </w:rPr>
        <w:t>5bf6dc10dd64cb0a53a93036ed44b54aa2987c04dccbea2b9163d033f94f76d4</w:t>
      </w:r>
      <w:r>
        <w:rPr>
          <w:b w:val="0"/>
        </w:rPr>
        <w:t>。</w:t>
      </w:r>
    </w:p>
    <w:p>
      <w:pPr>
        <w:pStyle w:val="ListBullet"/>
      </w:pPr>
      <w:r>
        <w:rPr>
          <w:b w:val="0"/>
        </w:rPr>
        <w:t>当前功能证据：</w:t>
      </w:r>
      <w:r>
        <w:rPr>
          <w:rFonts w:ascii="Consolas" w:hAnsi="Consolas"/>
          <w:b w:val="0"/>
          <w:color w:val="234C54"/>
          <w:sz w:val="20"/>
        </w:rPr>
        <w:t>evidence/experience-v3/INDEX.md</w:t>
      </w:r>
      <w:r>
        <w:rPr>
          <w:b w:val="0"/>
        </w:rPr>
        <w:t>、</w:t>
      </w:r>
      <w:r>
        <w:rPr>
          <w:rFonts w:ascii="Consolas" w:hAnsi="Consolas"/>
          <w:b w:val="0"/>
          <w:color w:val="234C54"/>
          <w:sz w:val="20"/>
        </w:rPr>
        <w:t>FEATURE_TRACEABILITY.md</w:t>
      </w:r>
      <w:r>
        <w:rPr>
          <w:b w:val="0"/>
        </w:rPr>
        <w:t>、</w:t>
      </w:r>
      <w:r>
        <w:rPr>
          <w:rFonts w:ascii="Consolas" w:hAnsi="Consolas"/>
          <w:b w:val="0"/>
          <w:color w:val="234C54"/>
          <w:sz w:val="20"/>
        </w:rPr>
        <w:t>TEST_REPORT.md</w:t>
      </w:r>
      <w:r>
        <w:rPr>
          <w:b w:val="0"/>
        </w:rPr>
        <w:t>、</w:t>
      </w:r>
      <w:r>
        <w:rPr>
          <w:rFonts w:ascii="Consolas" w:hAnsi="Consolas"/>
          <w:b w:val="0"/>
          <w:color w:val="234C54"/>
          <w:sz w:val="20"/>
        </w:rPr>
        <w:t>VISUAL_REVIEW.md</w:t>
      </w:r>
      <w:r>
        <w:rPr>
          <w:b w:val="0"/>
        </w:rPr>
        <w:t>、</w:t>
      </w:r>
      <w:r>
        <w:rPr>
          <w:rFonts w:ascii="Consolas" w:hAnsi="Consolas"/>
          <w:b w:val="0"/>
          <w:color w:val="234C54"/>
          <w:sz w:val="20"/>
        </w:rPr>
        <w:t>cases/INDEX.json</w:t>
      </w:r>
      <w:r>
        <w:rPr>
          <w:b w:val="0"/>
        </w:rPr>
        <w:t>。</w:t>
      </w:r>
    </w:p>
    <w:p>
      <w:pPr>
        <w:pStyle w:val="ListBullet"/>
      </w:pPr>
      <w:r>
        <w:rPr>
          <w:b w:val="0"/>
        </w:rPr>
        <w:t>跨版本接口：</w:t>
      </w:r>
      <w:r>
        <w:rPr>
          <w:rFonts w:ascii="Consolas" w:hAnsi="Consolas"/>
          <w:b w:val="0"/>
          <w:color w:val="234C54"/>
          <w:sz w:val="20"/>
        </w:rPr>
        <w:t>evidence/experience-v3/API_MIGRATION_MAP.md</w:t>
      </w:r>
      <w:r>
        <w:rPr>
          <w:b w:val="0"/>
        </w:rPr>
        <w:t>及</w:t>
      </w:r>
      <w:r>
        <w:rPr>
          <w:rFonts w:ascii="Consolas" w:hAnsi="Consolas"/>
          <w:b w:val="0"/>
          <w:color w:val="234C54"/>
          <w:sz w:val="20"/>
        </w:rPr>
        <w:t>docs/CONTRACT_RFC_001.md</w:t>
      </w:r>
      <w:r>
        <w:rPr>
          <w:b w:val="0"/>
        </w:rPr>
        <w:t>至</w:t>
      </w:r>
      <w:r>
        <w:rPr>
          <w:rFonts w:ascii="Consolas" w:hAnsi="Consolas"/>
          <w:b w:val="0"/>
          <w:color w:val="234C54"/>
          <w:sz w:val="20"/>
        </w:rPr>
        <w:t>031.md</w:t>
      </w:r>
      <w:r>
        <w:rPr>
          <w:b w:val="0"/>
        </w:rPr>
        <w:t>中与本次任务相关的部分。</w:t>
      </w:r>
    </w:p>
    <w:p>
      <w:pPr>
        <w:pStyle w:val="ListBullet"/>
      </w:pPr>
      <w:r>
        <w:rPr>
          <w:b w:val="0"/>
        </w:rPr>
        <w:t>原题约束对应：</w:t>
      </w:r>
      <w:r>
        <w:rPr>
          <w:rFonts w:ascii="Consolas" w:hAnsi="Consolas"/>
          <w:b w:val="0"/>
          <w:color w:val="234C54"/>
          <w:sz w:val="20"/>
        </w:rPr>
        <w:t>docs/experience-v3/CONSTRAINT_TRACEABILITY.md</w:t>
      </w:r>
      <w:r>
        <w:rPr>
          <w:b w:val="0"/>
        </w:rPr>
        <w:t>；开源设计参考：同目录</w:t>
      </w:r>
      <w:r>
        <w:rPr>
          <w:rFonts w:ascii="Consolas" w:hAnsi="Consolas"/>
          <w:b w:val="0"/>
          <w:color w:val="234C54"/>
          <w:sz w:val="20"/>
        </w:rPr>
        <w:t>RESEARCH.md</w:t>
      </w:r>
      <w:r>
        <w:rPr>
          <w:b w:val="0"/>
        </w:rPr>
        <w:t>与前端第三方声明。</w:t>
      </w:r>
    </w:p>
    <w:p>
      <w:r>
        <w:rPr>
          <w:b w:val="0"/>
        </w:rPr>
        <w:t>本文没有进行新的性能竞赛、用户调研或外部法规核验，不提供相应新结论。文字中的完成状态以当前代码与已有证据为依据；后续写本子时可复用说明与技术路线，正式统计、竞争优势和未实现研究需另补证据。</w:t>
      </w:r>
    </w:p>
    <w:p>
      <w:pPr>
        <w:pStyle w:val="Heading1"/>
      </w:pPr>
      <w:r>
        <w:t>24 V4离线启发式与案例资产实现</w:t>
      </w:r>
    </w:p>
    <w:p>
      <w:pPr>
        <w:pStyle w:val="Heading2"/>
      </w:pPr>
      <w:r>
        <w:t>24.1 首页与字体</w:t>
      </w:r>
    </w:p>
    <w:p>
      <w:r>
        <w:rPr>
          <w:b w:val="0"/>
        </w:rPr>
        <w:t>V4首页以CommandHome、TerrainCommandScene和command-home.css实现全宽深蓝指挥界面。主视觉读取项目实际DEM及基地、需求点坐标，最多73×73显示网格，高度显示倍率为8；流动连线是任务网络示意，不冒充求解航线或遥测。首页指标由本机数据库聚合任务、方案、快照和执行数量，缺少数据保留空值。中文Noto Sans SC Variable和数字Inter Variable按OFL许可本地打包，不使用字体CDN。</w:t>
      </w:r>
    </w:p>
    <w:p>
      <w:r>
        <w:rPr>
          <w:b w:val="0"/>
        </w:rPr>
        <w:t>粒子、路径流动、策略轨道、进入过渡和数字变化使用已有Motion、Three与CSS；用户开关和系统减少动态效果共同生效。三维循环在不可见或后台时暂停。首页背景铺满视口，正文容器最高1600px，工作台保留独立滚动与地图主体；实际检查覆盖1920、1440、1280和390宽度。</w:t>
      </w:r>
    </w:p>
    <w:p>
      <w:pPr>
        <w:pStyle w:val="Heading2"/>
      </w:pPr>
      <w:r>
        <w:t>24.2 可选引擎与实际评分</w:t>
      </w:r>
    </w:p>
    <w:p>
      <w:r>
        <w:rPr>
          <w:b w:val="0"/>
        </w:rPr>
        <w:t>标准调度保留原构造、多起点、有限候选约束优化和独立检查。EOH通过solver/engines.py在本地读取评分包，只调整已完成物理和资源分配的候选排序，不放宽硬约束，不改变最终目标。五个输入为标准评分base_score、完成时刻finish_s、航线能耗energy_kwh、箱数cargo_count、质量载荷利用率load_ratio。内置eoh-seed-v1实际使用：</w:t>
      </w:r>
    </w:p>
    <w:p>
      <w:pPr>
        <w:keepNext/>
        <w:spacing w:after="40" w:line="252" w:lineRule="auto"/>
      </w:pPr>
      <w:r>
        <w:rPr>
          <w:rFonts w:ascii="Consolas" w:hAnsi="Consolas" w:eastAsia="微软雅黑"/>
          <w:sz w:val="19"/>
        </w:rPr>
        <w:t>load_penalty = 1 + 0.12 * (1 - min(1, load_ratio))</w:t>
      </w:r>
    </w:p>
    <w:p>
      <w:pPr>
        <w:keepNext/>
        <w:spacing w:after="40" w:line="252" w:lineRule="auto"/>
      </w:pPr>
      <w:r>
        <w:rPr>
          <w:rFonts w:ascii="Consolas" w:hAnsi="Consolas" w:eastAsia="微软雅黑"/>
          <w:sz w:val="19"/>
        </w:rPr>
        <w:t>batch_bonus = 1 + 0.025 * min(3, cargo_count)</w:t>
      </w:r>
    </w:p>
    <w:p>
      <w:pPr>
        <w:keepNext w:val="0"/>
        <w:spacing w:after="40" w:line="252" w:lineRule="auto"/>
      </w:pPr>
      <w:r>
        <w:rPr>
          <w:rFonts w:ascii="Consolas" w:hAnsi="Consolas" w:eastAsia="微软雅黑"/>
          <w:sz w:val="19"/>
        </w:rPr>
        <w:t>score = base_score * load_penalty / batch_bonus</w:t>
      </w:r>
    </w:p>
    <w:p>
      <w:r>
        <w:rPr>
          <w:b w:val="0"/>
        </w:rPr>
        <w:t>该包为人工规则初始化rule_initialization，不是LLM进化成果。它真实参与搜索，但不保证每例优于标准引擎。联合模式直接采用其他候选、或深入优化保留原基线时，评分调用可能为0，Plan和界面保留实际调用次数。方案规划支持同一Snapshot、目标和规则下的双引擎比较；资源试算、深入、事件重规划和执行剩余修复的客户端继承原引擎。评测可固定引擎，动态修复评测继承基线，不将引擎改变误归因于资源或方法。</w:t>
      </w:r>
    </w:p>
    <w:p>
      <w:pPr>
        <w:pStyle w:val="Heading2"/>
      </w:pPr>
      <w:r>
        <w:t>24.3 策略包和离线工作流</w:t>
      </w:r>
    </w:p>
    <w:p>
      <w:r>
        <w:rPr>
          <w:b w:val="0"/>
        </w:rPr>
        <w:t>唯一包合同为contracts/heuristic-artifact.schema.json，后端类型由它生成。格式yuanhang-scalar-v1，记录policy_id、name、version、origin、description、expression和可选evolution_record。在线表达式只允许有限数字、四则运算及min、max、abs、sqrt、log1p；没有导入、属性、循环、任意Python执行或网络。数值异常回退标准评分并计数。</w:t>
      </w:r>
    </w:p>
    <w:p>
      <w:r>
        <w:rPr>
          <w:b w:val="0"/>
        </w:rPr>
        <w:t>EngineCenter可导入和导出32KiB以内的包，先检查Schema、AST与数值，再以新ID不可变保存。EOH离线包需附进化记录，但其内容仍是提供者声明，不自动认证训练质量。新SolveRequest/SolverOptions可选engine_type、heuristic_policy_id和heuristic_policy_sha256；提交和Worker分别核对指纹。新Plan.engine保存包版本、来源、SHA256、ranking_evaluations和fallback_evaluations；旧Plan/Snapshot不回填、不改hash，省略引擎保持标准行为。</w:t>
      </w:r>
    </w:p>
    <w:p>
      <w:r>
        <w:rPr>
          <w:b w:val="0"/>
        </w:rPr>
        <w:t>scripts/eoh_offline.py适配官方EoH的LLMConfig、EoH和BaseProblem。默认或--describe不发请求，只有显式--run才读取模型环境变量。候选使用真实小场景评估，保存输入指纹、指标和检查结果；合格产物以新ID发布，正常调度只读本地函数。此轮运行了表达式与三例本地接入评估，没有运行外部LLM进化，没有形成独立留出测试、消融或通用提升结论。后续需单独配置模型环境、预算和训练/测试集合，保留失败证据。</w:t>
      </w:r>
    </w:p>
    <w:p>
      <w:pPr>
        <w:pStyle w:val="Heading2"/>
      </w:pPr>
      <w:r>
        <w:t>24.4 案例与任务资产</w:t>
      </w:r>
    </w:p>
    <w:p>
      <w:r>
        <w:rPr>
          <w:b w:val="0"/>
        </w:rPr>
        <w:t>CaseLibrary内置山地断路、洪涝分级补给、运输通信协同、原题多点急送四类案例。MissionCreate.case_id复用已有幂等创建事务，形成独立场景与任务，source_case_id和创建日志保留来源；不复制旧Plan或交付事实。最近任务、完成/归档任务及输入复用读取既有数据库，新任务、方案、事件与演练持续形成资产。</w:t>
      </w:r>
    </w:p>
    <w:p>
      <w:r>
        <w:rPr>
          <w:b w:val="0"/>
        </w:rPr>
        <w:t>计算仍使用项目地理、DEM、机型和箱件。洪涝案例参考Copernicus EMSR517公开背景，在项目区域合成需求优先级，不代表德国或镇龙乡实测救援。OpenTopography SRTM目录是新增区域地形资料入口，Open-Meteo历史气象文档是配置参考；本轮没有下载公共DEM替换项目数据，也没有请求天气API。用途和许可见来源页与docs/experience-v4/RESEARCH.md，不能称真实业务大规模历史库。</w:t>
      </w:r>
    </w:p>
    <w:p>
      <w:pPr>
        <w:pStyle w:val="Heading2"/>
      </w:pPr>
      <w:r>
        <w:t>24.5 接入与接口迁移</w:t>
      </w:r>
    </w:p>
    <w:p>
      <w:r>
        <w:rPr>
          <w:b w:val="0"/>
        </w:rPr>
        <w:t>IntegrationCenter显示已安装的SimulationAdapter、服务器事件流、指令下发、状态回读及适配方法，提供配置和实际OpenAPI下载。真实设备连接和外部模型在线调用均关闭，不自动连接飞控。DeviceAdapter仍是抽象合同，真机、SITL、服务身份、现场许可另行实施。</w:t>
      </w:r>
    </w:p>
    <w:p>
      <w:r>
        <w:rPr>
          <w:b w:val="0"/>
        </w:rPr>
        <w:t>新增八个/api/v1路径模板：GET /case-library、GET /case-library/{case_id}/preview、GET /asset-overview、GET /heuristic-packages、POST /heuristic-packages/import、GET /heuristic-packages/{policy_id}/export、GET /integrations、GET /integrations/configuration。领域Schema由11增至12，实际OpenAPI由83增至91路径，仍为proposed。RFC-032和V4的API_MIGRATION_MAP记录兼容映射。</w:t>
      </w:r>
    </w:p>
    <w:p>
      <w:pPr>
        <w:pStyle w:val="Heading2"/>
      </w:pPr>
      <w:r>
        <w:t>24.6 证据与接手</w:t>
      </w:r>
    </w:p>
    <w:p>
      <w:r>
        <w:rPr>
          <w:b w:val="0"/>
        </w:rPr>
        <w:t>证据入口evidence/experience-v4/INDEX.md包含专项检查、离线浏览器截图、操作指南、限制和交接。V3实跑数据与论文约束对照保留其历史范围；本轮接入检查不替代独立算法性能实验。先读本文、根/模块AGENTS、当前状态、V4交接、唯一任务板、RFC-032和对应Schema/OpenAPI，再精读相关代码。不从G0重新搭建，不在每次任务中启动模型进化。</w:t>
      </w:r>
    </w:p>
    <w:sectPr w:rsidR="00FC693F" w:rsidRPr="0006063C" w:rsidSect="00034616">
      <w:footerReference w:type="default" r:id="rId9"/>
      <w:pgSz w:w="12240" w:h="15840"/>
      <w:pgMar w:top="1037"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wordWrap w:val="off"/>
    </w:pPr>
    <w:rPr>
      <w:rFonts w:ascii="Arial" w:hAnsi="Arial" w:eastAsia="微软雅黑"/>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微软雅黑"/>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微软雅黑"/>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微软雅黑"/>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微软雅黑"/>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援航项目实际实现与协作对接总文档</dc:title>
  <dc:subject>V4实际算法工程功能与两人协作交接</dc:subject>
  <dc:creator>援航项目组</dc:creator>
  <cp:keywords>无人机 调度 通信 地形 业务仿真 项目对接</cp:keywords>
  <dc:description>主源 docs/PROJECT_DOSSIER.md V4核心基线3ff456e及后续修复</dc:description>
  <cp:lastModifiedBy/>
  <cp:revision>1</cp:revision>
  <dcterms:created xsi:type="dcterms:W3CDTF">2013-12-23T23:15:00Z</dcterms:created>
  <dcterms:modified xsi:type="dcterms:W3CDTF">2013-12-23T23:15:00Z</dcterms:modified>
  <cp:category/>
</cp:coreProperties>
</file>