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第十二讲  逐字讲稿</w:t>
      </w:r>
    </w:p>
    <w:p>
      <w:pPr>
        <w:spacing w:before="0" w:after="200" w:line="288" w:lineRule="auto"/>
        <w:jc w:val="center"/>
      </w:pPr>
      <w:r>
        <w:rPr>
          <w:rFonts w:ascii="黑体" w:hAnsi="黑体" w:eastAsia="黑体"/>
          <w:b/>
          <w:color w:val="142A47"/>
          <w:sz w:val="32"/>
        </w:rPr>
        <w:t>一审刑事判决书（下）：判决结果·尾部·范文研读</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陈卫东、刘计划《法律文书写作（第五版）》第四章第一节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掌握判决结果部分八点书写要求；掌握尾部署名、年月日、印戳的写法；通过完整范文研读，把首部、事实、理由、判决结果、尾部五部分贯通理解，形成对一审刑事判决书的整体把握。</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第12讲_一审刑事判决书（下）：判决结果·尾部·范文研读.pptx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导入：从“为什么判”到“判什么”</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上一讲我们学习了首部的剩余内容、事实部分的四方面内容、理由部分的四点书写要求，理由部分解决的是“为什么这样判”的问题。今天这一讲，我们要解决“判什么”的问题，也就是判决结果部分的具体写法，这是教材形容为“画龙点睛”的部分。讲完判决结果，我们再学习尾部的写法，最后用一份完整的范文，把首部、事实、理由、判决结果、尾部这五个部分贯通起来研读，帮助大家建立对一审刑事判决书的整体把握。</w:t>
      </w:r>
    </w:p>
    <w:p>
      <w:pPr>
        <w:spacing w:before="0" w:after="100" w:line="384" w:lineRule="auto"/>
        <w:ind w:firstLine="420"/>
      </w:pPr>
      <w:r>
        <w:rPr>
          <w:rFonts w:ascii="仿宋" w:hAnsi="仿宋" w:eastAsia="仿宋"/>
          <w:b w:val="0"/>
          <w:color w:val="222222"/>
          <w:sz w:val="28"/>
        </w:rPr>
        <w:t>我想先强调一下判决结果部分的特殊性。前面我们讲事实部分、理由部分，强调的都是论证过程要充分、要有说服力；而判决结果部分恰恰相反，它要求的是高度的精确性和规范性，每一个字都关系到被告人的实际权利义务，不能有丝毫的含糊和差错，教材用“字字斟酌、严格推敲”来形容这部分的写作要求，这八个字非常值得我们牢记。我们可以从一个反面的角度理解这种精确性要求的重要意义：假设判决结果部分把“判处有期徒刑五年”误写成“判处有期徒刑五年六个月”，这种看似细微的笔误，一旦正式生效，就会直接导致被告人实际承担的刑罚和法院真实裁判意图不一致，这种错误一旦发生，往往需要通过审判监督程序才能纠正，会给当事人和司法机关都带来不必要的程序负担。我们还可以补充一点关于这种笔误纠正程序的具体路径：如果判决书生效后发现刑期记载存在笔误，通常需要由原审法院依照审判监督程序，启动再审或者通过裁定方式予以纠正，这个过程涉及立案审查、合议庭重新组成、可能的开庭审理等一系列程序环节，耗费的时间和司法资源，远远超过在判决书定稿前多花几分钟反复核对所需要付出的成本，这也从另一个角度说明了判决结果部分“字字斟酌”这一要求的现实合理性。这也是为什么判决结果部分必须经过反复核对、严格审校，不能有任何马虎和疏漏，这是判决书各部分中容错率最低的一部分内容。</w:t>
      </w:r>
    </w:p>
    <w:p>
      <w:pPr>
        <w:spacing w:before="200" w:after="80" w:line="312" w:lineRule="auto"/>
      </w:pPr>
      <w:r>
        <w:rPr>
          <w:rFonts w:ascii="黑体" w:hAnsi="黑体" w:eastAsia="黑体"/>
          <w:b/>
          <w:color w:val="20538C"/>
          <w:sz w:val="29"/>
        </w:rPr>
        <w:t>◆ 判决结果的定位与刑罚全称、刑期的写法</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判决结果是依照有关法律条文的具体规定，对被告人作出的定性处理的结论，是判决书“画龙点睛”的部分。我们来看具体的书写要求，教材一共归纳了八点，我们逐一来看。</w:t>
      </w:r>
    </w:p>
    <w:p>
      <w:pPr>
        <w:spacing w:before="0" w:after="100" w:line="384" w:lineRule="auto"/>
        <w:ind w:firstLine="420"/>
      </w:pPr>
      <w:r>
        <w:rPr>
          <w:rFonts w:ascii="仿宋" w:hAnsi="仿宋" w:eastAsia="仿宋"/>
          <w:b w:val="0"/>
          <w:color w:val="222222"/>
          <w:sz w:val="28"/>
        </w:rPr>
        <w:t>第一点，判处的各种刑罚，应按法律规定写明全称，既不能“削足适履”，也不能“画蛇添足”。教材举了两个很典型的例子：判处“死刑，缓期两年执行”的，根据修订后的刑法与刑事诉讼法的规定，不能写为“死刑，缓期二年执行，劳动改造，以观后效”，这是因为“劳动改造，以观后效”属于旧的、已经不再使用的表述方式，现行法律对死缓的规定中不再包含这部分内容，写上去反而是画蛇添足、不符合现行法律规定的全称；也不能简为判处“死缓”，这是“削足适履”的例子，“死缓”是民间和媒体常用的简称，但判决书作为严肃的法律文书，必须使用法律规定的全称“死刑，缓期二年执行”，不能图省事简化书写。我们可以再补充一点历史沿革的背景知识，帮助大家理解为什么会出现“劳动改造，以观后效”这样的旧表述：在早些年的刑事立法和司法实践中，对死刑缓期执行的犯罪分子，确实曾经有过强制劳动改造、以观察其改造表现来决定是否减为无期徒刑或者有期徒刑这一制度安排的具体表述习惯，但随着刑法、刑事诉讼法的修订完善，现行法律对死缓的执行方式有了更加规范、统一的表述，旧的、带有特定历史时期色彩的表述方式，已经不再适用于今天的判决书写作，这也提示我们，法律文书的具体写法，会随着立法的修订而动态调整，写作者必须以现行有效的法律规定为准，不能沿用已经过时的旧表述习惯。同样的道理，判处“死刑”的，不能写为判处“死刑立即执行”，因为“死刑”本身已经是法律规定的全称，加上“立即执行”反而是不必要的累赘表述，这也是一种“画蛇添足”。我们可以再做一个对比，加深理解“死刑”和“死刑，缓期二年执行”这两种不同判决结果之间的本质区别：“死刑”这一表述本身已经包含了立即执行的法律含义，不需要也不应当再额外添加“立即执行”这样的修饰语；而“死刑，缓期二年执行”则是死刑的一种特殊执行方式，依据现行刑法规定，对于应当判处死刑但不是必须立即执行的犯罪分子，可以判处死刑同时宣告缓期二年执行，这是我国刑罚制度中具有鲜明特色的一项死刑执行制度安排，这两种判决结果在适用条件、法律后果上有本质的不同，判决书在表述时必须准确反映这种区别，不能混淆或者随意简化。</w:t>
      </w:r>
    </w:p>
    <w:p>
      <w:pPr>
        <w:spacing w:before="0" w:after="100" w:line="384" w:lineRule="auto"/>
        <w:ind w:firstLine="420"/>
      </w:pPr>
      <w:r>
        <w:rPr>
          <w:rFonts w:ascii="仿宋" w:hAnsi="仿宋" w:eastAsia="仿宋"/>
          <w:b w:val="0"/>
          <w:color w:val="222222"/>
          <w:sz w:val="28"/>
        </w:rPr>
        <w:t>第二点，有期的刑罚应当写明刑种、刑期。对于判处有期徒刑或者管制刑的，应当在随后的括号中标明刑期的起止和折抵情况，这一点教材在后面的范文中给出了具体的格式示范，比如“刑期从判决执行之日起计算。判决执行以前先行羁押的，羁押一日折抵刑期一日，即自××年××月××日起至××年××月××日止”，这种写法既明确了刑期的起算时间点，又通过折抵规则保障了被告人在判决前被羁押的时间能够依法计入刑期，体现了刑罚执行的公正性和准确性。我们可以再举一个具体的折抵计算示例帮助理解：假设被告人因本案于2024年3月1日被刑事拘留，同年3月15日被逮捕，一直羁押至判决生效，法院判处有期徒刑两年。根据“羁押一日折抵刑期一日”的规则，从被刑事拘留之日起到判决执行之日，这段时间的羁押都应当折抵进最终的刑期，判决书需要精确计算出这两年刑期具体对应的起止日期，这个计算过程必须以判决书记载的拘留、逮捕的具体时间为基准，这也再次说明了我们第十讲讲到的首部被告人项中“因本案所受强制措施情况”这一项记载的重要性——首部记载不准确，判决结果部分的折抵计算就无法准确进行。我们可以再延伸一点，提示大家关注一种实务中容易出现疏漏的情形：如果被告人在侦查或审查起诉阶段曾经被取保候审，后又被逮捕收押，这种强制措施变化的完整过程，理应在首部如实记载，因为这会影响羁押时间的连续性计算，进而影响判决结果部分折抵刑期的准确计算。如果首部记载遗漏了某一段羁押期间，判决结果部分计算出来的折抵刑期就会出现错误，这种错误一旦发生在判决生效之后才被发现，往往需要通过申诉或者审判监督程序才能纠正，会给被告人的合法权益带来不必要的影响，这也是为什么我们反复强调首部信息记载的精确性对整份判决书后续各部分的重要支撑作用。我们还可以补充一点实务中常见的应对做法：很多法院在判决书定稿前，会专门安排书记员或者法官助理，依据案卷中记载的拘留通知书、逮捕决定书等原始法律文书，逐项核对羁押起止时间，制作专门的羁押期限核算单，作为判决结果部分刑期折抵计算的依据，这种核算单本身不进入判决书正文，但是法院内部质量控制的重要工作记录，体现了司法机关对刑期计算准确性的高度重视。我们再补充一个更复杂的实务场景：假设被告人在侦查阶段被监视居住一段时间，后来才被逮捕，监视居住和逮捕这两种强制措施的法律性质和折抵规则并不完全相同，监视居住期限的折抵规则、计算方式，和拘留、逮捕后的羁押折抵规则有所区别，这就要求法官在撰写判决书首部和判决结果部分时，对被告人历次受到的强制措施种类、起止时间，都要逐一核实清楚，准确适用对应的折抵规则，不能简单地把所有强制措施期间都按照统一标准折抵，这也是判决结果部分写作中专业性要求比较高、容易出现差错的一个具体环节，值得大家特别留意。我们还可以补充一点关于这类复杂折抵计算容易出错环节的实务应对建议：很多基层法院在审理涉及多次强制措施变更的案件时，会要求承办法官在合议庭评议阶段，专门就羁押期限折抵问题进行核实确认，并将核实结果记入合议庭评议笔录，作为日后如果对折抵计算结果产生争议时的查证依据，这种做法体现了司法机关在制度设计层面，对判决结果部分这类高精度计算环节进行专门质量管控的努力。</w:t>
      </w:r>
    </w:p>
    <w:p>
      <w:pPr>
        <w:spacing w:before="200" w:after="80" w:line="312" w:lineRule="auto"/>
      </w:pPr>
      <w:r>
        <w:rPr>
          <w:rFonts w:ascii="黑体" w:hAnsi="黑体" w:eastAsia="黑体"/>
          <w:b/>
          <w:color w:val="20538C"/>
          <w:sz w:val="29"/>
        </w:rPr>
        <w:t>◆ 附加刑与追缴退赔的写法</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第三点，有附加刑的，应当在主刑之后，写明附加刑的种类。判处罚金的，要写明罚金的具体数额；判处没收财产的，应当写明是没收犯罪分子个人所有的财产的一部还是全部。这一点提示我们，附加刑的记载不能笼统，必须写清楚具体的种类和数额，因为附加刑直接关系到被告人的财产权利，记载不清楚会给后续的刑罚执行带来困难。我们还可以补充一点：附加刑虽然在判决结果部分的排列顺序上位于主刑之后，但它和主刑一样，都是法院依法判处的具有强制执行力的刑罚种类，不能因为排列在后面，就在记载的精确程度上有所放松。判处罚金的，应当写明具体的数额，比如“判处罚金人民币五万元”，不能写成“判处罚金若干”这种模糊表述；判处没收财产的，更要明确区分是没收个人全部财产还是部分财产，因为这两种处理方式对被告人及其家庭成员财产权利的影响程度差异很大，必须在判决结果中清楚交代，避免执行过程中产生争议。</w:t>
      </w:r>
    </w:p>
    <w:p>
      <w:pPr>
        <w:spacing w:before="0" w:after="100" w:line="384" w:lineRule="auto"/>
        <w:ind w:firstLine="420"/>
      </w:pPr>
      <w:r>
        <w:rPr>
          <w:rFonts w:ascii="仿宋" w:hAnsi="仿宋" w:eastAsia="仿宋"/>
          <w:b w:val="0"/>
          <w:color w:val="222222"/>
          <w:sz w:val="28"/>
        </w:rPr>
        <w:t>第四点，追缴、退赔和没收财物的，应写明其名称和数额。财物多、种类杂的，只在判决书上写明其种类和总数，另列清单作为判决书的附件。这一点也是出于实用性的考虑：如果涉案财物种类繁多、数量庞大，全部详细列入判决书正文，会让判决书显得冗长、不便阅读，单独列附件清单，既保证了记载的完整性，又不影响判决书正文的简明性，这是一种兼顾完整性和可读性的处理方式，也是大家以后处理类似复杂信息记载问题时可以借鉴的写作技巧。我们还可以补充一点：附件清单虽然是判决书的附属部分，但同样具有法律效力，是判决书不可分割的组成部分，如果将来对涉案财物的处理结果提出异议，附件清单同样可以作为审查的依据，这一点和我们后面会讲到的一些法院文书（比如调解书可能附带的执行明细）在处理复杂信息时采用的技术性安排，思路是相通的。</w:t>
      </w:r>
    </w:p>
    <w:p>
      <w:pPr>
        <w:spacing w:before="200" w:after="80" w:line="312" w:lineRule="auto"/>
      </w:pPr>
      <w:r>
        <w:rPr>
          <w:rFonts w:ascii="黑体" w:hAnsi="黑体" w:eastAsia="黑体"/>
          <w:b/>
          <w:color w:val="20538C"/>
          <w:sz w:val="29"/>
        </w:rPr>
        <w:t>◆ 数罪并罚与多人案件的写法</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第五点，数罪并罚的，应当分别定罪量刑（包括主刑和附加刑），然后按照刑法总则第四章第四节的规定，决定执行的刑罚，不应“估堆”量刑。这里“估堆”量刑是一个很形象的说法，意思是不能笼统地把数个罪行加在一起，估算一个大概的刑罚就草草了事，而必须严格按照法律规定的数罪并罚规则，先分别确定每个罪行的量刑，再依照法定的并罚原则（比如限制加重原则）确定最终决定执行的刑罚，这个过程不能省略任何一个步骤，也不能用大概估算来代替精确计算。我们可以举一个具体的数罪并罚计算示例帮助理解：假设被告人犯了盗窃罪和故意伤害罪两个罪，法院首先要分别确定盗窃罪应当判处的刑罚（比如有期徒刑两年）和故意伤害罪应当判处的刑罚（比如有期徒刑三年），这是“分别定罪量刑”的步骤；然后再依照刑法总则规定的限制加重原则，在两个罪的刑期总和（五年）以下、其中最高刑期（三年）以上这个区间内，确定一个最终决定执行的刑罚，比如决定执行有期徒刑四年，这是“数罪并罚决定执行刑罚”的步骤。这两个步骤缺一不可，判决结果部分必须把这两个步骤的具体结果都写清楚，不能只写最终决定执行的刑罚、省略每个罪分别判处的刑罚，因为分别判处的刑罚信息，对于审查数罪并罚计算是否准确，具有不可替代的核验价值。</w:t>
      </w:r>
    </w:p>
    <w:p>
      <w:pPr>
        <w:spacing w:before="0" w:after="100" w:line="384" w:lineRule="auto"/>
        <w:ind w:firstLine="420"/>
      </w:pPr>
      <w:r>
        <w:rPr>
          <w:rFonts w:ascii="仿宋" w:hAnsi="仿宋" w:eastAsia="仿宋"/>
          <w:b w:val="0"/>
          <w:color w:val="222222"/>
          <w:sz w:val="28"/>
        </w:rPr>
        <w:t>第六点，一案多人的，应以罪责的主次或者应判刑罚的重轻为顺序，逐人分项引述法律依据，定罪判处。这一点和我们上一讲讲理由部分“确定罪名”时提到的“共同犯罪应在分清各被告人的地位、作用和刑事责任的前提下，依次确定主犯、从犯的罪名”是一脉相承的，判决结果部分的多人案件书写顺序，延续的正是理由部分确定罪名时的逻辑顺序，前后呼应、保持一致。我们可以举一个具体的例子来说明这种前后呼应：假设一起共同盗窃案件，甲是主犯、乙是从犯，理由部分确定罪名时，应当先论证甲的主犯地位和罪责，再论证乙的从犯地位和罪责；到了判决结果部分，也应当按照同样的顺序，先写“被告人甲犯盗窃罪，判处……”，再写“被告人乙犯盗窃罪，判处……”，这种前后一致的顺序安排，能够让整份判决书在逻辑结构上显得连贯、严谨，避免理由部分和判决结果部分在被告人排列顺序上出现不必要的混乱。</w:t>
      </w:r>
    </w:p>
    <w:p>
      <w:pPr>
        <w:spacing w:before="200" w:after="80" w:line="312" w:lineRule="auto"/>
      </w:pPr>
      <w:r>
        <w:rPr>
          <w:rFonts w:ascii="黑体" w:hAnsi="黑体" w:eastAsia="黑体"/>
          <w:b/>
          <w:color w:val="20538C"/>
          <w:sz w:val="29"/>
        </w:rPr>
        <w:t>◆ 单位犯罪与无罪判决的特殊写法</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第七点，机关、团体、企业或事业单位构成犯罪被判处经济处罚的，首先应写明被告（单位）犯什么罪，其次写明判处罚金或者没收财产的种类和数额，其主管责任人员、直接责任人员因此构成犯罪的，再续项列写对他们的定罪判刑。这一点和我们第十讲讲被告人项书写规则时提到的“单位被告人及法定代表人”的写法是相互对应的，单位犯罪案件的判决结果，要先处理单位本身的刑事责任，再处理相关自然人的刑事责任，这种先后顺序体现了单位犯罪案件“两层主体、两层责任”的特殊结构。我们可以举一个具体的单位犯罪案例帮助理解：假设一家公司因为偷税被追究刑事责任，判决结果部分首先应当写明“被告单位××公司犯逃税罪，判处罚金人民币××万元”，确定单位本身的刑事责任；其次，如果该公司的法定代表人或者直接负责的主管人员，因为组织、决策这次偷税行为而被认定构成犯罪，判决结果部分还要续项写明“被告人××（该公司法定代表人）犯逃税罪，判处有期徒刑×年”。这种“先单位、后个人”的书写顺序，准确反映了单位犯罪案件中，单位和直接责任人员分别承担相对独立、又相互关联的刑事责任这一特殊法律关系，是单位犯罪刑事责任理论在判决书具体写法上的落实。我们还可以再补充一点单位犯罪刑事责任理论的背景知识，帮助大家理解这种“双层主体”结构的法理基础：单位犯罪之所以要同时追究单位和相关自然人的刑事责任，是因为单位犯罪行为本身体现了单位的整体意志（比如经单位决策机构决定、为本单位谋取非法利益），但单位的决策和行为又必须通过具体的自然人来实施和执行，因此现行刑法对单位犯罪普遍采取“双罚制”，即在处罚单位的同时，处罚直接负责的主管人员和其他直接责任人员，这种制度安排既体现了对单位整体责任的追究，也避免了让单位作为一个抽象主体“逃避”应有的责任分担机制，判决结果部分“先单位、后个人”的书写顺序，正是这一双罚制理论在具体文书写法上的直接体现。</w:t>
      </w:r>
    </w:p>
    <w:p>
      <w:pPr>
        <w:spacing w:before="0" w:after="100" w:line="384" w:lineRule="auto"/>
        <w:ind w:firstLine="420"/>
      </w:pPr>
      <w:r>
        <w:rPr>
          <w:rFonts w:ascii="仿宋" w:hAnsi="仿宋" w:eastAsia="仿宋"/>
          <w:b w:val="0"/>
          <w:color w:val="222222"/>
          <w:sz w:val="28"/>
        </w:rPr>
        <w:t>第八点，也是最复杂的一点，是无罪判决的特殊表述。教材指出，作无罪判决的，无论是适用〔刑事诉讼法2018年修正〕第200条第2项还是适用第3项的规定，判决结果部分都应当表述为“被告人无罪”。其中适用第3项规定宣告被告人无罪的，应当将“证据不足，××人民检察院指控的犯罪不能成立”作为判决的理由，而不应当将其作为判决的主文。这一点提示我们一个重要的区分：判决结果的主文，无论案件因为何种原因被判无罪，统一表述为简洁的“被告人无罪”，至于无罪的具体原因——是确实没有犯罪事实，还是证据不足无法认定犯罪——这些具体的判断理由，应当放在理由部分论述，不能把理由内容混入判决结果的主文表述之中，这正体现了“判决结果只写结论、理由部分负责论证”这一基本分工原则。我们可以再用一个具体的写法对比来说明这种分工的重要性：如果判决结果部分写成“证据不足，××人民检察院指控的犯罪不能成立，被告人无罪”，这种写法就把本应放在理由部分的具体说理内容，混入了判决结果的主文表述之中，违反了判决结果部分应当简洁、明确这一基本要求。正确的写法是，理由部分先充分论证“为什么证据不足、为什么指控的犯罪不能成立”，然后判决结果部分只需要简洁地写“被告人××无罪”，这种写法既保证了说理的充分性，又保证了判决结果主文的简洁性和规范性，二者各司其职，不能相互混淆或者越位。</w:t>
      </w:r>
    </w:p>
    <w:p>
      <w:pPr>
        <w:spacing w:before="0" w:after="100" w:line="384" w:lineRule="auto"/>
        <w:ind w:firstLine="420"/>
      </w:pPr>
      <w:r>
        <w:rPr>
          <w:rFonts w:ascii="仿宋" w:hAnsi="仿宋" w:eastAsia="仿宋"/>
          <w:b w:val="0"/>
          <w:color w:val="222222"/>
          <w:sz w:val="28"/>
        </w:rPr>
        <w:t>教材还补充了两种特殊情形：根据最高人民法院《关于适用〈中华人民共和国刑事诉讼法〉的解释》第295条第6、7项的规定，对于被告人因未达到刑事责任年龄而不予刑事处罚，以及被告人是精神病人，在不能辨认或者不能控制自己行为的时候造成危害结果而不予刑事处罚的，均应在判决结果中宣告“被告人××不负刑事责任”，这种表述和“被告人无罪”是有区别的——“不负刑事责任”强调的是被告人因为特定的法定原因（年龄、精神状态）不承担刑事责任，但并不必然意味着没有实施危害行为，这和“无罪”强调的“没有犯罪事实或者证据不足以认定犯罪”在内涵上是不同的，大家要注意区分这两种表述适用的不同情形。我们可以再用一个对比表来帮助大家巩固记忆这几种特殊表述之间的区别：“被告人无罪”，适用于没有实施犯罪行为，或者证据不足无法认定犯罪的情形，强调的是“没有犯罪事实”这一判断；“被告人不负刑事责任”，适用于被告人确实实施了危害行为，但因为不具备承担刑事责任的法定条件（未达刑事责任年龄、精神疾病导致无刑事责任能力）而不予处罚，强调的是“有危害行为、但不具备责任能力或责任年龄”这一判断；这两种表述看似相近，但在法律内涵上有本质区别，前者是对“是否构成犯罪”这一犯罪构成要件层面的判断，后者是对“是否具备承担刑事责任的主体资格”这一责任能力层面的判断，大家在以后的学习和实务工作中，要根据案件的具体情况准确选用相应的表述方式，不能混用。依照该条第10项的规定，对于被告人死亡的案件，有证据证明被告人无罪，经缺席审理确认无罪的，应当在判决结果中宣告“被告人××无罪”，这一项对应的是我们国家近年来建立的刑事缺席审判制度，是一项相对新的制度安排，大家可以作为延伸知识有所了解。我们可以再补充一点关于缺席审判制度的背景知识：这项制度主要适用于贪污贿赂犯罪案件和需要及时进行审判的严重危害国家安全犯罪、恐怖活动犯罪案件，被告人潜逃境外、在境外的情况下，法院依法可以缺席审理，这一制度的设立，是为了解决一些被告人故意逃匿境外、长期规避审判的现实问题，保障刑事诉讼程序能够顺利进行，同时也兼顾了对潜逃境外被告人合法权益的程序保障，比如缺席审判过程中，被告人的法定代理人、近亲属可以代为委托辩护人，这体现了刑事诉讼程序在制度设计上努力兼顾打击犯罪和保障人权这两方面价值的基本立场。</w:t>
      </w:r>
    </w:p>
    <w:p>
      <w:pPr>
        <w:spacing w:before="200" w:after="80" w:line="312" w:lineRule="auto"/>
      </w:pPr>
      <w:r>
        <w:rPr>
          <w:rFonts w:ascii="黑体" w:hAnsi="黑体" w:eastAsia="黑体"/>
          <w:b/>
          <w:color w:val="20538C"/>
          <w:sz w:val="29"/>
        </w:rPr>
        <w:t>◆ 延伸：判决结果的可执行性要求</w:t>
      </w:r>
      <w:r>
        <w:rPr>
          <w:rFonts w:ascii="黑体" w:hAnsi="黑体" w:eastAsia="黑体"/>
          <w:b w:val="0"/>
          <w:color w:val="868686"/>
          <w:sz w:val="21"/>
        </w:rPr>
        <w:t xml:space="preserve">　（对应幻灯片 4c）</w:t>
      </w:r>
    </w:p>
    <w:p>
      <w:pPr>
        <w:spacing w:before="0" w:after="100" w:line="384" w:lineRule="auto"/>
        <w:ind w:firstLine="420"/>
      </w:pPr>
      <w:r>
        <w:rPr>
          <w:rFonts w:ascii="仿宋" w:hAnsi="仿宋" w:eastAsia="仿宋"/>
          <w:b w:val="0"/>
          <w:color w:val="222222"/>
          <w:sz w:val="28"/>
        </w:rPr>
        <w:t>我们再补充一点关于判决结果可执行性的认识，这一点教材没有直接展开，但从司法实务角度看非常重要。判决结果作为最终生效后将进入执行程序的裁判内容，必须具备充分的“可执行性”，也就是说，判决结果部分写明的每一项内容，都应当具体、明确，能够直接指引执行机关（比如监狱、社区矫正机构、执行法院）开展相应的执行工作，不能留下任何模糊、有歧义的表述空间。</w:t>
      </w:r>
    </w:p>
    <w:p>
      <w:pPr>
        <w:spacing w:before="0" w:after="100" w:line="384" w:lineRule="auto"/>
        <w:ind w:firstLine="420"/>
      </w:pPr>
      <w:r>
        <w:rPr>
          <w:rFonts w:ascii="仿宋" w:hAnsi="仿宋" w:eastAsia="仿宋"/>
          <w:b w:val="0"/>
          <w:color w:val="222222"/>
          <w:sz w:val="28"/>
        </w:rPr>
        <w:t>我们可以举一个例子来说明可执行性的重要意义：如果判决结果写“判处有期徒刑若干年”，而没有写明具体的年数，执行机关就完全无法据此确定具体的服刑期限；如果判决结果写“追缴违法所得”而不写明具体数额，执行机关在追缴时就会面临操作上的困难。这也是为什么我们前面反复强调判决结果部分要“字字斟酌”，每一处具体数额、期限、种类的记载都必须精确无误，这种精确性要求，最终都是为了保障判决结果能够顺利、准确地进入执行程序，转化为现实中的刑罚执行效果，这正是裁判文书作为“权利义务确定书”和“执行依据书”双重功能的具体体现。我们可以再补充一个具体场景来印证这一点：假设判决结果写明“追缴被告人非法所得人民币五万元，发还被害人”，这句话同时具备了权利义务确定和执行指引两重功能——它确定了被告人负有返还五万元的义务、被害人享有获得五万元返还的权利，同时也为执行机关指明了具体的执行标的、执行金额和执行方向，执行机关不需要再回头查阅整份判决书的事实、理由部分，仅凭判决结果部分的这一句话，就能够准确开展执行工作。这种“自洽性”和“可独立执行性”，是判决结果部分写作质量的一项重要检验标准，大家在以后撰写或者审阅判决书时，可以用“能否脱离判决书其他部分单独支撑执行工作”这个标准，来检验判决结果部分的写作是否合格。我们还可以补充一点，这种可执行性要求和我们后面将要学到的法院其他文书种类——比如执行文书——之间存在密切的衔接关系：判决结果部分写得越精确、越具备可独立执行性，进入执行程序之后，执行法院或者执行机构需要回溯查阅判决书事实、理由部分来理解裁判意图的情形就越少，执行工作的效率和准确性也就越高，这也提示我们，裁判文书写作质量的高低，不仅影响审判环节，还会传导到后续的执行环节，对整个刑事司法程序的运行效率产生连锁影响。</w:t>
      </w:r>
    </w:p>
    <w:p>
      <w:pPr>
        <w:spacing w:before="200" w:after="80" w:line="312" w:lineRule="auto"/>
      </w:pPr>
      <w:r>
        <w:rPr>
          <w:rFonts w:ascii="黑体" w:hAnsi="黑体" w:eastAsia="黑体"/>
          <w:b/>
          <w:color w:val="20538C"/>
          <w:sz w:val="29"/>
        </w:rPr>
        <w:t>◆ 尾部的署名规则</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进入尾部的学习。书写尾部各项时，教材给出了三点需要注意的内容，我们先看署名规则。判决书的尾部应由参加审判案件的合议庭组成人员或独任审判员署名，但具体的署名方式，要根据组成人员的身份不同而有所区别。合议庭的一般成员是陪审员的，署名为“人民陪审员：××”；合议庭的一般成员是助理审判员的，署名为“代理审判员：××”；助理审判员担任合议庭审判长的，与审判员担任合议庭审判长的一样，均署名为“审判长：××”；院长或庭长参加合议庭的，应担任审判长，也署名为“审判长：××”。独任审判的案件，主审人是审判员的，署名为“审判员：××”；主审人是助理审判员的，署名为“代理审判员：××”。</w:t>
      </w:r>
    </w:p>
    <w:p>
      <w:pPr>
        <w:spacing w:before="0" w:after="100" w:line="384" w:lineRule="auto"/>
        <w:ind w:firstLine="420"/>
      </w:pPr>
      <w:r>
        <w:rPr>
          <w:rFonts w:ascii="仿宋" w:hAnsi="仿宋" w:eastAsia="仿宋"/>
          <w:b w:val="0"/>
          <w:color w:val="222222"/>
          <w:sz w:val="28"/>
        </w:rPr>
        <w:t>这一套署名规则虽然细，但背后的逻辑很清楚：署名要准确反映每一位参加审判人员的实际身份和在合议庭中承担的具体角色，不能笼统地都写成“审判员”，这样才能让读者，特别是后续审查这份判决书的上级法院或者检察机关，准确了解这起案件的审判组织构成情况，这也是审判程序合法性的一项重要外在体现。我们还可以补充一点关于署名顺序的实务习惯：合议庭组成人员的署名顺序，一般是审判长在前，其他审判员、人民陪审员依次排列在后，这种顺序也体现了审判长在合议庭中承担的组织、主持职责，虽然合议庭实行民主评议、多数决定的原则，审判长和其他成员在表决权上是平等的，但审判长在署名顺序上的优先排列，反映的是其在审判程序组织管理上的特殊角色，这一点和我们第10讲讲到的“判决书是机关行使权力还是个人行使权力”这一问题略有不同，审判长虽然代表合议庭在程序上承担组织职责，但最终的裁判结论依然是合议庭全体成员共同评议决定的结果，不是审判长个人的决定。我们还可以补充一点关于合议庭评议规则的背景知识：合议庭评议案件，实行少数服从多数的原则，但是评议中的不同意见，应当如实记入笔录，这也正是我们在第十讲讲到的笔录类文书——合议庭评议笔录——之所以重要的原因之一，它完整记录了合议庭内部形成最终裁判结论的民主决策过程，是审查判决书裁判结论是否经过合法、民主程序形成的重要依据。审判长在署名顺序上排在最前，更多是体现一种程序组织上的便利和惯例，并不意味着审判长的意见在合议庭评议中具有更高的权重，这一点也是大家理解我国合议制审判组织民主性特征的一个重要切入点。</w:t>
      </w:r>
    </w:p>
    <w:p>
      <w:pPr>
        <w:spacing w:before="200" w:after="80" w:line="312" w:lineRule="auto"/>
      </w:pPr>
      <w:r>
        <w:rPr>
          <w:rFonts w:ascii="黑体" w:hAnsi="黑体" w:eastAsia="黑体"/>
          <w:b/>
          <w:color w:val="20538C"/>
          <w:sz w:val="29"/>
        </w:rPr>
        <w:t>◆ 尾部的年月日与核对印戳</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再看尾部年月日的写法。尾部的年月日为判决的决定日期，经过审判委员会讨论的案件，应写审判委员会作出决定的日期；未经过审判委员会讨论而经院长或庭长签发的案件，仍应写合议庭评议或复议作出决定的日期，年月日上面要加盖院印。这一点和我们上一讲讲到的审判委员会讨论决定案件的特殊写法是相互呼应的，审判经过部分如果记载了“经合议庭评议，审判委员会进行了讨论并作出决定”，那么尾部记载的年月日，就应当是审判委员会作出决定的具体日期，而不是合议庭评议的日期，二者要保持一致和对应。</w:t>
      </w:r>
    </w:p>
    <w:p>
      <w:pPr>
        <w:spacing w:before="0" w:after="100" w:line="384" w:lineRule="auto"/>
        <w:ind w:firstLine="420"/>
      </w:pPr>
      <w:r>
        <w:rPr>
          <w:rFonts w:ascii="仿宋" w:hAnsi="仿宋" w:eastAsia="仿宋"/>
          <w:b w:val="0"/>
          <w:color w:val="222222"/>
          <w:sz w:val="28"/>
        </w:rPr>
        <w:t>最后一点，是关于判决书原本和正本的核对印戳问题。判决书原本上不写“本件与原本核对无异”，而应将其制成专用印戳，由书记员将正本与原本核对无异之后，加盖在正本末页的年月日的左下方、书记员署名的左上方。若有个别涂改之处，应盖校对章。这一点是一项很细节的程序性规定，目的是确保发到当事人手中的判决书正本，和法院留存的判决书原本内容完全一致，这是保障判决书内容真实性、防止正本被篡改的一项重要程序保障措施，虽然看起来只是盖章的小细节，但体现的是司法文书管理工作的严谨性。我们可以再补充一点关于这项制度的实际运作场景：当事人或者代理律师拿到的判决书正本，是经过书记员逐字核对、确认与法院留存的原本完全一致之后，加盖了专用核对印戳的文书，这种核对程序，本质上是一道质量控制的关卡，目的是防止在判决书复制、打印、装订过程中出现的笔误或者遗漏，影响判决书内容的真实性和完整性。如果判决书在送达给当事人之前，没有经过这道核对程序，万一正本和原本之间存在文字差异，比如某个关键的刑期数字被打印错误，这种差错一旦被当事人依据有误的正本去主张权利或者履行义务，就可能引发严重的法律后果。这也是为什么这看似细枝末节的核对印戳程序，被专门写入裁判文书的规范要求之中，绝不是可以省略的形式性步骤。我们还可以补充一点关于现代法院信息化建设对这项制度的影响：随着电子诉讼平台和裁判文书网上送达系统的推广应用，越来越多的法院开始探索电子签章、电子核对印戳等信息化核对方式，但无论核对手段是纸质印戳还是电子签章，其背后所要保障的目标是一致的，那就是确保送达到当事人手中的判决书内容，与法院依法定程序作出并留存的判决书内容完全一致，这一制度目标不会因为技术手段的演进而发生改变，大家在理解这项规则时，要把握住其制度功能的本质，而不是拘泥于纸质印戳这一种具体的实现形式。</w:t>
      </w:r>
    </w:p>
    <w:p>
      <w:pPr>
        <w:spacing w:before="200" w:after="80" w:line="312" w:lineRule="auto"/>
      </w:pPr>
      <w:r>
        <w:rPr>
          <w:rFonts w:ascii="黑体" w:hAnsi="黑体" w:eastAsia="黑体"/>
          <w:b/>
          <w:color w:val="20538C"/>
          <w:sz w:val="29"/>
        </w:rPr>
        <w:t>◆ 三种格式范文的差异对照</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我们接下来研读三份范文格式：第一审公诉案件适用普通程序用格式、适用普通程序审理“被告人认罪案件”用格式、适用简易程序用格式。这三份格式在结构上高度一致，都是首部、事实、理由、判决结果、尾部五部分，但在具体表述上有一些细微而重要的差异，值得我们仔细比对。</w:t>
      </w:r>
    </w:p>
    <w:p>
      <w:pPr>
        <w:spacing w:before="0" w:after="100" w:line="384" w:lineRule="auto"/>
        <w:ind w:firstLine="420"/>
      </w:pPr>
      <w:r>
        <w:rPr>
          <w:rFonts w:ascii="仿宋" w:hAnsi="仿宋" w:eastAsia="仿宋"/>
          <w:b w:val="0"/>
          <w:color w:val="222222"/>
          <w:sz w:val="28"/>
        </w:rPr>
        <w:t>普通程序用格式中，审判经过表述为“本院依法组成合议庭，公开（或不公开）开庭审理了本案”，体现的是普通程序必须组成合议庭审理这一法定要求；适用简易程序用格式中，审判经过表述为“本院依法适用简易程序，实行独任审判，公开（或不公开）开庭审理了本案”，这里明确点出了“适用简易程序”和“独任审判”这两个关键信息，这是因为简易程序作为普通程序的简化形式，在审判组织上允许由审判员一人独任审理，不需要组成合议庭，这是简易程序区别于普通程序最核心的程序特征之一，判决书首部必须如实、明确地记载这一点。我们可以再补充一点简易程序适用条件的背景知识，帮助大家理解这种审判组织简化的制度基础：依据〔刑事诉讼法2018年修正〕的相关规定，基层人民法院管辖的案件，事实清楚、证据充分，被告人认罪，对适用简易程序没有异议的，可以适用简易程序审理，可能判处的刑罚一般限于三年有期徒刑以下。这种案件由于争议程度相对较低，案情相对简单，立法者认为不需要像普通程序案件那样组成三人或者更多人的合议庭来共同评议，由一名审判员独任审理即可保障审判质量，同时大幅提高审判效率，这是司法资源配置“简案简办”原则的具体体现，也是我们在第十讲讨论裁判文书改革动向时提到的“简案简办、繁案精办”这一思路在审判程序设计上的直接落实。</w:t>
      </w:r>
    </w:p>
    <w:p>
      <w:pPr>
        <w:spacing w:before="0" w:after="100" w:line="384" w:lineRule="auto"/>
        <w:ind w:firstLine="420"/>
      </w:pPr>
      <w:r>
        <w:rPr>
          <w:rFonts w:ascii="仿宋" w:hAnsi="仿宋" w:eastAsia="仿宋"/>
          <w:b w:val="0"/>
          <w:color w:val="222222"/>
          <w:sz w:val="28"/>
        </w:rPr>
        <w:t>另外，大家还可以留意一下事实部分用语的细微差异：普通程序用格式和认罪案件用格式都用“经审理查明：……”这样的表述，体现的是法院经过完整的法庭审理程序、独立查明事实的过程；而简易程序用格式中则用了“公诉机关指控被告人……（简要概括起诉书指控犯罪事实内容）”这样的表述，这是因为适用简易程序审理的案件，通常是事实清楚、证据充分、被告人认罪认罚的案件，法庭审理程序相对简化，事实记载也可以适当从简，直接概括指控的犯罪事实内容，不需要像普通程序案件那样详细展开法庭查明的过程。这种细微的用语差异，正是不同审判程序在判决书具体写法上的真实反映。我们还可以再补充一个值得注意的细节：在“被告人认罪案件”用格式中，教材的范文表述是“上述事实，被告人在开庭审理过程中亦无异议，且有物证××、书证××、证人××的证言、被害人××的陈述、××公安机关（或检察机关）的勘验、检查笔录和××鉴定意见等证据证实，足以认定”，这里特别强调了“被告人在开庭审理过程中亦无异议”这一表述，这正是“认罪案件”这一特殊属性在判决书事实部分书写上的具体体现——因为被告人对指控的事实没有异议，所以事实部分的论证重心，可以适当从“详细分析证据、排除矛盾”转向“简要列明证据种类、确认证据充分”，这种写法上的调整，正是审判程序的繁简程度和判决书事实部分论证详略程度之间存在对应关系的又一个具体例证。</w:t>
      </w:r>
    </w:p>
    <w:p>
      <w:pPr>
        <w:spacing w:before="200" w:after="80" w:line="312" w:lineRule="auto"/>
      </w:pPr>
      <w:r>
        <w:rPr>
          <w:rFonts w:ascii="黑体" w:hAnsi="黑体" w:eastAsia="黑体"/>
          <w:b/>
          <w:color w:val="20538C"/>
          <w:sz w:val="29"/>
        </w:rPr>
        <w:t>◆ 延伸：判决结果与量刑建议书的衔接</w:t>
      </w:r>
      <w:r>
        <w:rPr>
          <w:rFonts w:ascii="黑体" w:hAnsi="黑体" w:eastAsia="黑体"/>
          <w:b w:val="0"/>
          <w:color w:val="868686"/>
          <w:sz w:val="21"/>
        </w:rPr>
        <w:t xml:space="preserve">　（对应幻灯片 4b）</w:t>
      </w:r>
    </w:p>
    <w:p>
      <w:pPr>
        <w:spacing w:before="0" w:after="100" w:line="384" w:lineRule="auto"/>
        <w:ind w:firstLine="420"/>
      </w:pPr>
      <w:r>
        <w:rPr>
          <w:rFonts w:ascii="仿宋" w:hAnsi="仿宋" w:eastAsia="仿宋"/>
          <w:b w:val="0"/>
          <w:color w:val="222222"/>
          <w:sz w:val="28"/>
        </w:rPr>
        <w:t>我们在判决结果这部分，再做一个跨讲次的延伸联系，帮助大家把前面学过的内容和今天的内容串联起来。第9讲我们学习量刑建议书时讲过，根据〔刑事诉讼法2018年修正〕第201条的规定，对于认罪认罚案件，人民法院一般应当采纳人民检察院提出的量刑建议，但存在量刑建议明显不当等除外情形的，人民法院可以不采纳。这一规则在判决结果部分会有什么具体的体现？如果法院采纳了量刑建议，判决结果部分写明的具体刑罚，应当和量刑建议书中建议的量刑幅度基本一致；如果法院没有采纳量刑建议，认为量刑建议明显不当，理由部分就需要充分说明不采纳的具体理由，而判决结果部分最终确定的刑罚，则会和量刑建议书的建议存在差异。</w:t>
      </w:r>
    </w:p>
    <w:p>
      <w:pPr>
        <w:spacing w:before="0" w:after="100" w:line="384" w:lineRule="auto"/>
        <w:ind w:firstLine="420"/>
      </w:pPr>
      <w:r>
        <w:rPr>
          <w:rFonts w:ascii="仿宋" w:hAnsi="仿宋" w:eastAsia="仿宋"/>
          <w:b w:val="0"/>
          <w:color w:val="222222"/>
          <w:sz w:val="28"/>
        </w:rPr>
        <w:t>这种衔接关系提示我们，判决结果部分虽然是法院独立作出的最终裁断，但在认罪认罚案件中，它并不是完全脱离于检察机关量刑建议的孤立判断，而是建立在“一般采纳、例外不采纳”这一制度安排基础上的。我们还可以补充一点：第9讲提到的量刑建议书除外情形——比如被告人、辩护人对指控的犯罪事实有异议，量刑建议明显不当，被告人违反认罪认罚的具结情况等——这些除外情形一旦在审理中被发现，理由部分就需要专门展开论证为什么不采纳量刑建议，这种论证篇幅，往往比一般的“采纳量刑建议”案件更长，因为不采纳已经获得检察机关和被告人双方认可的量刑建议，对法院的说理责任要求更高，需要充分说明不采纳的具体依据和理由，这也是认罪认罚从宽制度下判决书写作中一个值得关注的难点。判决结果和量刑建议之间的这种关系，进一具体地说明了我们在第十讲反复强调的“审判权是终局裁断权”这一定位——即便在认罪认罚从宽制度下检察机关的量刑建议获得了更高的尊重和重视程度，最终决定刑罚的权力，依然专属于人民法院，量刑建议本身不直接产生法律效力，必须经过法院的审查确认，才能转化为具有强制执行力的判决结果。</w:t>
      </w:r>
    </w:p>
    <w:p>
      <w:pPr>
        <w:spacing w:before="200" w:after="80" w:line="312" w:lineRule="auto"/>
      </w:pPr>
      <w:r>
        <w:rPr>
          <w:rFonts w:ascii="黑体" w:hAnsi="黑体" w:eastAsia="黑体"/>
          <w:b/>
          <w:color w:val="20538C"/>
          <w:sz w:val="29"/>
        </w:rPr>
        <w:t>◆ 课堂讨论：简易程序判决书上诉法院写法的差异</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我们做一个课堂讨论。问题是：简易程序案件判决书写“向××中级人民法院提出上诉”，普通程序案件判决书写“向××人民法院提出上诉”，这种差异说明了什么？我请大家先独立思考，再听我分析。</w:t>
      </w:r>
    </w:p>
    <w:p>
      <w:pPr>
        <w:spacing w:before="0" w:after="100" w:line="384" w:lineRule="auto"/>
        <w:ind w:firstLine="420"/>
      </w:pPr>
      <w:r>
        <w:rPr>
          <w:rFonts w:ascii="仿宋" w:hAnsi="仿宋" w:eastAsia="仿宋"/>
          <w:b w:val="0"/>
          <w:color w:val="222222"/>
          <w:sz w:val="28"/>
        </w:rPr>
        <w:t>我们一起来分析这个问题。这个差异的根源，在于简易程序所适用的案件审级管辖和普通程序有所不同。简易程序通常适用于基层人民法院审理的，可能判处三年有期徒刑以下刑罚，事实清楚、证据充分的案件，由基层人民法院依法独任审判。基层人民法院作出的一审判决，依法应当向上一级的中级人民法院提出上诉，这是我国法院组织体系“四级两审终审”原则在审级管辖上的具体体现——基层法院的判决，上诉审应当由中级法院审理。</w:t>
      </w:r>
    </w:p>
    <w:p>
      <w:pPr>
        <w:spacing w:before="0" w:after="100" w:line="384" w:lineRule="auto"/>
        <w:ind w:firstLine="420"/>
      </w:pPr>
      <w:r>
        <w:rPr>
          <w:rFonts w:ascii="仿宋" w:hAnsi="仿宋" w:eastAsia="仿宋"/>
          <w:b w:val="0"/>
          <w:color w:val="222222"/>
          <w:sz w:val="28"/>
        </w:rPr>
        <w:t>而普通程序用格式中表述为“向××人民法院提出上诉”，这里没有写明具体是“中级人民法院”，是因为普通程序适用的案件范围更广，既可能是基层人民法院一审的案件（上诉审为中级法院），也可能是中级人民法院一审的案件（上诉审为高级法院），甚至可能是高级人民法院一审的案件（上诉审为最高人民法院），具体应当向哪一级法院提出上诉，要根据作出一审判决的法院的级别来确定，所以教材在普通程序格式范文中用了一个相对通用的表述“××人民法院”，留待具体案件根据审级关系填写，而简易程序由于只适用于基层法院审理的案件，上诉审法院就固定是中级人民法院，所以可以在格式范文中直接明确写出“中级人民法院”。这个细微的格式差异，背后反映的正是我国刑事案件审级管辖制度和简易程序适用范围之间的内在关联，值得大家仔细体会。我们还可以再延伸一点，从两审终审制度的整体设计角度来补充理解：我国实行的是两审终审制，也就是一个案件经过一审、二审两级法院审理之后，二审判决即为终审判决，当事人不能再就同一案件提出上诉（特殊情形下还可以申请审判监督程序救济）。基层人民法院作为我国法院体系中数量最多、最贴近基层社会的审判机关，承担了绝大多数简单刑事案件的一审任务，这些案件的二审，依法由其上一级的中级人民法院负责；而对于一些案情复杂、社会影响较大的案件，往往由中级人民法院甚至更高级别的法院一审，相应地，二审就要由更高一级的法院负责。这种逐级对应的审级管辖关系，构成了我国法院组织体系的基本骨架，今天讲的简易程序判决书上诉法院写法的差异，正是这套骨架体系在具体文书写作细节上的一个生动反映。我们还可以再补充一点关于上诉权利保障与审级管辖制度之间关系的延伸思考：无论是简易程序案件还是普通程序案件，被告人依法享有的上诉权利本身是完全平等的，审级管辖制度上的差异，只是确定具体应当向哪一级法院提出上诉，并不意味着简易程序案件的被告人在上诉权利的实质保障程度上要弱于普通程序案件的被告人。这也提示我们，判决书尾部关于上诉权利、上诉期限、上诉法院的记载，看起来是程序性的“附属”内容，但实际上承载着保障当事人诉讼权利、连接一审与二审程序的重要功能，必须记载准确、清晰，不能因为是程序性内容而有所忽视。</w:t>
      </w:r>
    </w:p>
    <w:p>
      <w:pPr>
        <w:spacing w:before="200" w:after="80" w:line="312" w:lineRule="auto"/>
      </w:pPr>
      <w:r>
        <w:rPr>
          <w:rFonts w:ascii="黑体" w:hAnsi="黑体" w:eastAsia="黑体"/>
          <w:b/>
          <w:color w:val="20538C"/>
          <w:sz w:val="29"/>
        </w:rPr>
        <w:t>◆ 五部分结构的整体贯通理解</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我们结合今天和前两讲学习的内容，把一审刑事判决书五部分结构作整体贯通：首部交代谁审理、谁被告、谁辩护、案件由来这些基础信息，为整份判决书的阅读提供必要的背景；事实部分交代法院查明了什么，同时呈现控辩双方各自的说法，体现“兼听则明”的精神；理由部分交代为什么这样定罪量刑，是连接事实和结论的论证纽带，是判决书的灵魂；判决结果部分交代最终的具体裁判结论，要求字字斟酌、高度精确；尾部交代审判组织和后续的上诉权利等程序性事项，为判决书的效力和救济途径提供程序保障。</w:t>
      </w:r>
    </w:p>
    <w:p>
      <w:pPr>
        <w:spacing w:before="0" w:after="100" w:line="384" w:lineRule="auto"/>
        <w:ind w:firstLine="420"/>
      </w:pPr>
      <w:r>
        <w:rPr>
          <w:rFonts w:ascii="仿宋" w:hAnsi="仿宋" w:eastAsia="仿宋"/>
          <w:b w:val="0"/>
          <w:color w:val="222222"/>
          <w:sz w:val="28"/>
        </w:rPr>
        <w:t>这五部分环环相扣，缺一不可：没有首部，读者不知道这是谁审理、谁被告的案件；没有事实，理由部分的论证就没有事实基础；没有理由，判决结果就显得突兀、缺乏说服力；没有判决结果，整份判决书就失去了实际的裁判意义；没有尾部，判决书的程序合法性和效力来源就缺乏必要的佐证。希望大家通过今天的学习，能够真正把这五部分作为一个有机的整体来理解和把握，而不是孤立地记忆每一部分的具体规则。我们可以用一个比喻来巩固这种整体性认识：如果把一份判决书比作一座完整的建筑，首部就是建筑的“门牌和地基说明”，事实部分是“建筑的材料清单和现场勘测报告”，理由部分是“建筑设计图纸和力学计算说明”，判决结果是“最终竣工验收的结论”，尾部则是“施工单位的签字盖章和质保说明”。这五个部分，任何一个环节出现疏漏或者缺失，整座建筑——也就是这份判决书——的可靠性和权威性，都会受到不同程度的影响，这正是我们坚持要求大家把五部分作为一个有机整体来学习和把握的根本原因。</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判决结果部分的八点书写要求，涵盖了刑罚全称的规范写法、刑期的具体表述、附加刑的种类与数额、追缴退赔财物的写法、数罪并罚的处理原则、多人案件的书写顺序、单位犯罪的特殊处理、以及无罪判决的几种特殊表述情形，这些规则共同保障了判决结果这个“画龙点睛”部分的精确性和规范性。尾部的三点要求，涵盖了署名规则、年月日的确定方式、以及核对印戳的具体写法，这些规则保障了判决书在程序合法性和文书管理上的严谨性。</w:t>
      </w:r>
    </w:p>
    <w:p>
      <w:pPr>
        <w:spacing w:before="0" w:after="100" w:line="384" w:lineRule="auto"/>
        <w:ind w:firstLine="420"/>
      </w:pPr>
      <w:r>
        <w:rPr>
          <w:rFonts w:ascii="仿宋" w:hAnsi="仿宋" w:eastAsia="仿宋"/>
          <w:b w:val="0"/>
          <w:color w:val="222222"/>
          <w:sz w:val="28"/>
        </w:rPr>
        <w:t>今天我们还通过三份格式范文的对比研读，体会了普通程序、认罪案件、简易程序三种不同审判程序下，一审刑事判决书在具体表述上的细微差异，这些差异背后都有着相应的诉讼制度依据，希望大家能够透过这些具体的文字差异，看到背后的制度逻辑。我们可以把今天研读的这三份范文格式作一个整体性的总结：普通程序用格式对应的是案情相对复杂、控辩双方存在较大争议的案件，判决书各部分的论证都要相对充分、详细；认罪案件用格式对应的是被告人认罪但仍适用普通程序审理的案件，判决书在事实部分可以适当简化，但理由部分仍需充分论证；简易程序用格式对应的是事实清楚、争议很小、可能判处较轻刑罚的案件，判决书整体的论证篇幅和详细程度都可以进一步简化。这种“审判程序繁简程度决定判决书论证详略程度”的对应关系，是大家理解我国刑事诉讼程序分流制度在裁判文书写作层面具体落实的一条重要线索。我们还可以再补充一点关于诉讼程序分流制度的整体背景：近年来我国刑事诉讼制度改革的一个重要方向，就是推动案件依照繁简程度进行合理分流，简单案件适用简易程序甚至速裁程序，集中司法资源处理复杂、重大案件，这一改革方向不仅体现在审判组织形式、审理期限等程序设计上，也深刻影响着裁判文书的具体写法，今天我们对三份范文格式的对比研读，正是观察这一改革方向在裁判文书层面具体落地效果的一个很好的切入点，希望大家以后接触到其他类型案件的判决书时，也能够带着这种“程序与文书相互对应”的视角去观察和分析。我们今天对这三份范文格式的研读，希望能够帮助大家建立这种“制度决定格式、格式反映制度”的分析视角，这种视角在大家以后学习其他诉讼文书时，同样具有普遍的指导意义。学完今天这一讲，我们用三讲的篇幅，完整地学习了一审刑事判决书的五部分结构和具体写法，这是大家今后学习二审判决书、民事判决书、行政判决书的重要基础。</w:t>
      </w:r>
    </w:p>
    <w:p>
      <w:pPr>
        <w:spacing w:before="0" w:after="100" w:line="384" w:lineRule="auto"/>
        <w:ind w:firstLine="420"/>
      </w:pPr>
      <w:r>
        <w:rPr>
          <w:rFonts w:ascii="仿宋" w:hAnsi="仿宋" w:eastAsia="仿宋"/>
          <w:b w:val="0"/>
          <w:color w:val="222222"/>
          <w:sz w:val="28"/>
        </w:rPr>
        <w:t>我留一道作业题：请大家结合今天学的范文格式，自行拟写一份简化版的一审刑事判决书，事实部分可以用一个虚构的教学示例案情，但要注明“教学示例（虚拟案例）”，五部分内容要齐全，下次课我会随机抽查几位同学的作业进行讲评。下一讲我们将进入二审刑事判决书与裁定书的学习，看看一审判决书的五部分结构，在二审程序中会发生怎样的变化和调整，希望大家提前预习相关内容，做好衔接准备。我先简要预告一下二审程序的几个核心特点，帮助大家提前建立心理预期：二审程序的审理对象，不是案件本身从零开始重新审理，而是针对一审判决提出的上诉或抗诉理由进行审查，因此二审判决书在结构上会比一审判决书多出一个“原审情况”或者“一审判决认定的事实和理由”的概括部分，用于交代一审判决的基本内容，然后再展开二审法院自己的审查和认定；二审判决的结果，可能是维持原判，也可能是改判，还可能是发回重审，这几种不同的处理方式，在判决书或裁定书的具体表述上会有明显差异，这些内容我们都会在下一讲详细展开。</w:t>
      </w:r>
    </w:p>
    <w:p>
      <w:pPr>
        <w:spacing w:before="240" w:after="40" w:line="288" w:lineRule="auto"/>
      </w:pPr>
      <w:r>
        <w:rPr>
          <w:rFonts w:ascii="楷体" w:hAnsi="楷体" w:eastAsia="楷体"/>
          <w:b w:val="0"/>
          <w:color w:val="868686"/>
          <w:sz w:val="22"/>
        </w:rPr>
        <w:t>（本讲讲稿正文约 15071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