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March 19, 2026</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sz w:val="18"/>
              </w:rPr>
              <w:t>400</w:t>
            </w:r>
          </w:p>
        </w:tc>
        <w:tc>
          <w:tcPr>
            <w:tcW w:type="dxa" w:w="960"/>
          </w:tcPr>
          <w:p>
            <w:pPr>
              <w:jc w:val="center"/>
            </w:pPr>
            <w:r>
              <w:rPr>
                <w:rFonts w:ascii="Calibri" w:hAnsi="Calibri"/>
                <w:b/>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sz w:val="18"/>
              </w:rPr>
              <w:t>Construction</w:t>
            </w:r>
          </w:p>
        </w:tc>
        <w:tc>
          <w:tcPr>
            <w:tcW w:type="dxa" w:w="960"/>
          </w:tcPr>
          <w:p>
            <w:pPr>
              <w:jc w:val="center"/>
            </w:pPr>
            <w:r>
              <w:rPr>
                <w:rFonts w:ascii="Calibri" w:hAnsi="Calibri"/>
                <w:b/>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sz w:val="18"/>
              </w:rPr>
              <w:t>09/02/25 - 01/28/26</w:t>
            </w:r>
          </w:p>
        </w:tc>
        <w:tc>
          <w:tcPr>
            <w:tcW w:type="dxa" w:w="960"/>
          </w:tcPr>
          <w:p>
            <w:pPr>
              <w:jc w:val="center"/>
            </w:pPr>
            <w:r>
              <w:rPr>
                <w:rFonts w:ascii="Calibri" w:hAnsi="Calibri"/>
                <w:b/>
                <w:sz w:val="18"/>
              </w:rPr>
              <w:t>01/29/26 - 08/16/26</w:t>
            </w:r>
          </w:p>
        </w:tc>
        <w:tc>
          <w:tcPr>
            <w:tcW w:type="dxa" w:w="960"/>
          </w:tcPr>
          <w:p>
            <w:pPr>
              <w:jc w:val="center"/>
            </w:pPr>
            <w:r>
              <w:rPr>
                <w:rFonts w:ascii="Calibri" w:hAnsi="Calibri"/>
                <w:sz w:val="18"/>
              </w:rPr>
              <w:t>08/18/26 - 09/08/26</w:t>
            </w:r>
          </w:p>
        </w:tc>
        <w:tc>
          <w:tcPr>
            <w:tcW w:type="dxa" w:w="960"/>
          </w:tcPr>
          <w:p>
            <w:pPr>
              <w:jc w:val="center"/>
            </w:pPr>
            <w:r>
              <w:rPr>
                <w:rFonts w:ascii="Calibri" w:hAnsi="Calibri"/>
                <w:sz w:val="18"/>
              </w:rPr>
              <w:t>08/18/26 - 10/12/26</w:t>
            </w:r>
          </w:p>
        </w:tc>
        <w:tc>
          <w:tcPr>
            <w:tcW w:type="dxa" w:w="960"/>
          </w:tcPr>
          <w:p>
            <w:pPr>
              <w:jc w:val="center"/>
            </w:pPr>
            <w:r>
              <w:rPr>
                <w:rFonts w:ascii="Calibri" w:hAnsi="Calibri"/>
                <w:sz w:val="18"/>
              </w:rPr>
              <w:t>04/01/25 - 10/12/26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sz w:val="18"/>
              </w:rPr>
              <w:t>30</w:t>
            </w:r>
          </w:p>
        </w:tc>
        <w:tc>
          <w:tcPr>
            <w:tcW w:type="dxa" w:w="960"/>
          </w:tcPr>
          <w:p>
            <w:pPr>
              <w:jc w:val="center"/>
            </w:pPr>
            <w:r>
              <w:rPr>
                <w:rFonts w:ascii="Calibri" w:hAnsi="Calibri"/>
                <w:b/>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559</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107</w:t>
            </w:r>
          </w:p>
        </w:tc>
        <w:tc>
          <w:tcPr>
            <w:tcW w:type="dxa" w:w="960"/>
          </w:tcPr>
          <w:p>
            <w:pPr>
              <w:jc w:val="center"/>
            </w:pPr>
            <w:r>
              <w:rPr>
                <w:rFonts w:ascii="Calibri" w:hAnsi="Calibri"/>
                <w:b/>
                <w:sz w:val="18"/>
              </w:rPr>
              <w:t>49</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352</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color w:val="FF0000"/>
                <w:sz w:val="18"/>
              </w:rPr>
              <w:t>357%</w:t>
            </w:r>
          </w:p>
        </w:tc>
        <w:tc>
          <w:tcPr>
            <w:tcW w:type="dxa" w:w="960"/>
            <w:shd w:val="clear" w:color="auto" w:fill="D4F0D4"/>
          </w:tcPr>
          <w:p>
            <w:pPr>
              <w:jc w:val="center"/>
            </w:pPr>
            <w:r>
              <w:rPr>
                <w:rFonts w:ascii="Calibri" w:hAnsi="Calibri"/>
                <w:b/>
                <w:sz w:val="18"/>
              </w:rPr>
              <w:t>24%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63%</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sz w:val="18"/>
              </w:rPr>
              <w:t>$279,193</w:t>
            </w:r>
          </w:p>
        </w:tc>
        <w:tc>
          <w:tcPr>
            <w:tcW w:type="dxa" w:w="960"/>
          </w:tcPr>
          <w:p>
            <w:pPr>
              <w:jc w:val="center"/>
            </w:pPr>
            <w:r>
              <w:rPr>
                <w:rFonts w:ascii="Calibri" w:hAnsi="Calibri"/>
                <w:b/>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$352,897</w:t>
            </w:r>
          </w:p>
        </w:tc>
        <w:tc>
          <w:tcPr>
            <w:tcW w:type="dxa" w:w="960"/>
          </w:tcPr>
          <w:p>
            <w:pPr>
              <w:jc w:val="center"/>
            </w:pPr>
            <w:r>
              <w:rPr>
                <w:rFonts w:ascii="Calibri" w:hAnsi="Calibri"/>
                <w:sz w:val="18"/>
              </w:rPr>
              <w:t>$504,930</w:t>
            </w:r>
          </w:p>
        </w:tc>
        <w:tc>
          <w:tcPr>
            <w:tcW w:type="dxa" w:w="960"/>
          </w:tcPr>
          <w:p>
            <w:pPr>
              <w:jc w:val="center"/>
            </w:pPr>
            <w:r>
              <w:rPr>
                <w:rFonts w:ascii="Calibri" w:hAnsi="Calibri"/>
                <w:sz w:val="18"/>
              </w:rPr>
              <w:t>$246,717</w:t>
            </w:r>
          </w:p>
        </w:tc>
        <w:tc>
          <w:tcPr>
            <w:tcW w:type="dxa" w:w="960"/>
          </w:tcPr>
          <w:p>
            <w:pPr>
              <w:jc w:val="center"/>
            </w:pPr>
            <w:r>
              <w:rPr>
                <w:rFonts w:ascii="Calibri" w:hAnsi="Calibri"/>
                <w:b/>
                <w:sz w:val="18"/>
              </w:rPr>
              <w:t>$92,439</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$1,302,036</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100%</w:t>
            </w:r>
          </w:p>
        </w:tc>
        <w:tc>
          <w:tcPr>
            <w:tcW w:type="dxa" w:w="960"/>
            <w:shd w:val="clear" w:color="auto" w:fill="D4F0D4"/>
          </w:tcPr>
          <w:p>
            <w:pPr>
              <w:jc w:val="center"/>
            </w:pPr>
            <w:r>
              <w:rPr>
                <w:rFonts w:ascii="Calibri" w:hAnsi="Calibri"/>
                <w:sz w:val="18"/>
              </w:rPr>
              <w:t>103%</w:t>
            </w:r>
          </w:p>
        </w:tc>
        <w:tc>
          <w:tcPr>
            <w:tcW w:type="dxa" w:w="960"/>
            <w:shd w:val="clear" w:color="auto" w:fill="D4F0D4"/>
          </w:tcPr>
          <w:p>
            <w:pPr>
              <w:jc w:val="center"/>
            </w:pPr>
            <w:r>
              <w:rPr>
                <w:rFonts w:ascii="Calibri" w:hAnsi="Calibri"/>
                <w:sz w:val="18"/>
              </w:rPr>
              <w:t>85%</w:t>
            </w:r>
          </w:p>
        </w:tc>
        <w:tc>
          <w:tcPr>
            <w:tcW w:type="dxa" w:w="960"/>
            <w:shd w:val="clear" w:color="auto" w:fill="D4F0D4"/>
          </w:tcPr>
          <w:p>
            <w:pPr>
              <w:jc w:val="center"/>
            </w:pPr>
            <w:r>
              <w:rPr>
                <w:rFonts w:ascii="Calibri" w:hAnsi="Calibri"/>
                <w:sz w:val="18"/>
              </w:rPr>
              <w:t>88%</w:t>
            </w:r>
          </w:p>
        </w:tc>
        <w:tc>
          <w:tcPr>
            <w:tcW w:type="dxa" w:w="960"/>
            <w:shd w:val="clear" w:color="auto" w:fill="D4F0D4"/>
          </w:tcPr>
          <w:p>
            <w:pPr>
              <w:jc w:val="center"/>
            </w:pPr>
            <w:r>
              <w:rPr>
                <w:rFonts w:ascii="Calibri" w:hAnsi="Calibri"/>
                <w:b/>
                <w:sz w:val="18"/>
              </w:rPr>
              <w:t>14%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57%</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sz w:val="18"/>
              </w:rPr>
              <w:t>$218,009</w:t>
            </w:r>
          </w:p>
        </w:tc>
        <w:tc>
          <w:tcPr>
            <w:tcW w:type="dxa" w:w="960"/>
          </w:tcPr>
          <w:p>
            <w:pPr>
              <w:jc w:val="center"/>
            </w:pPr>
            <w:r>
              <w:rPr>
                <w:rFonts w:ascii="Calibri" w:hAnsi="Calibri"/>
                <w:b/>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$239,401</w:t>
            </w:r>
          </w:p>
        </w:tc>
        <w:tc>
          <w:tcPr>
            <w:tcW w:type="dxa" w:w="960"/>
          </w:tcPr>
          <w:p>
            <w:pPr>
              <w:jc w:val="center"/>
            </w:pPr>
            <w:r>
              <w:rPr>
                <w:rFonts w:ascii="Calibri" w:hAnsi="Calibri"/>
                <w:sz w:val="18"/>
              </w:rPr>
              <w:t>$426,268</w:t>
            </w:r>
          </w:p>
        </w:tc>
        <w:tc>
          <w:tcPr>
            <w:tcW w:type="dxa" w:w="960"/>
          </w:tcPr>
          <w:p>
            <w:pPr>
              <w:jc w:val="center"/>
            </w:pPr>
            <w:r>
              <w:rPr>
                <w:rFonts w:ascii="Calibri" w:hAnsi="Calibri"/>
                <w:sz w:val="18"/>
              </w:rPr>
              <w:t>$593,133</w:t>
            </w:r>
          </w:p>
        </w:tc>
        <w:tc>
          <w:tcPr>
            <w:tcW w:type="dxa" w:w="960"/>
          </w:tcPr>
          <w:p>
            <w:pPr>
              <w:jc w:val="center"/>
            </w:pPr>
            <w:r>
              <w:rPr>
                <w:rFonts w:ascii="Calibri" w:hAnsi="Calibri"/>
                <w:b/>
                <w:sz w:val="18"/>
              </w:rPr>
              <w:t>$79,612</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$1,356,245</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67%</w:t>
            </w:r>
          </w:p>
        </w:tc>
        <w:tc>
          <w:tcPr>
            <w:tcW w:type="dxa" w:w="960"/>
            <w:shd w:val="clear" w:color="auto" w:fill="D4F0D4"/>
          </w:tcPr>
          <w:p>
            <w:pPr>
              <w:jc w:val="center"/>
            </w:pPr>
            <w:r>
              <w:rPr>
                <w:rFonts w:ascii="Calibri" w:hAnsi="Calibri"/>
                <w:sz w:val="18"/>
              </w:rPr>
              <w:t>86%</w:t>
            </w:r>
          </w:p>
        </w:tc>
        <w:tc>
          <w:tcPr>
            <w:tcW w:type="dxa" w:w="960"/>
            <w:shd w:val="clear" w:color="auto" w:fill="D4F0D4"/>
          </w:tcPr>
          <w:p>
            <w:pPr>
              <w:jc w:val="center"/>
            </w:pPr>
            <w:r>
              <w:rPr>
                <w:rFonts w:ascii="Calibri" w:hAnsi="Calibri"/>
                <w:color w:val="FF0000"/>
                <w:sz w:val="18"/>
              </w:rPr>
              <w:t>272%</w:t>
            </w:r>
          </w:p>
        </w:tc>
        <w:tc>
          <w:tcPr>
            <w:tcW w:type="dxa" w:w="960"/>
            <w:shd w:val="clear" w:color="auto" w:fill="D4F0D4"/>
          </w:tcPr>
          <w:p>
            <w:pPr>
              <w:jc w:val="center"/>
            </w:pPr>
            <w:r>
              <w:rPr>
                <w:rFonts w:ascii="Calibri" w:hAnsi="Calibri"/>
                <w:b/>
                <w:sz w:val="18"/>
              </w:rPr>
              <w:t>18%</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75%</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sz w:val="18"/>
              </w:rPr>
              <w:t>489%</w:t>
            </w:r>
          </w:p>
        </w:tc>
        <w:tc>
          <w:tcPr>
            <w:tcW w:type="dxa" w:w="960"/>
            <w:shd w:val="clear" w:color="auto" w:fill="D4F0D4"/>
          </w:tcPr>
          <w:p>
            <w:pPr>
              <w:jc w:val="center"/>
            </w:pPr>
            <w:r>
              <w:rPr>
                <w:rFonts w:ascii="Calibri" w:hAnsi="Calibri"/>
                <w:sz w:val="18"/>
              </w:rPr>
              <w:t>47%</w:t>
            </w:r>
          </w:p>
        </w:tc>
        <w:tc>
          <w:tcPr>
            <w:tcW w:type="dxa" w:w="960"/>
            <w:shd w:val="clear" w:color="auto" w:fill="D4F0D4"/>
          </w:tcPr>
          <w:p>
            <w:pPr>
              <w:jc w:val="center"/>
            </w:pPr>
            <w:r>
              <w:rPr>
                <w:rFonts w:ascii="Calibri" w:hAnsi="Calibri"/>
                <w:sz w:val="18"/>
              </w:rPr>
              <w:t>18%</w:t>
            </w:r>
          </w:p>
        </w:tc>
        <w:tc>
          <w:tcPr>
            <w:tcW w:type="dxa" w:w="960"/>
            <w:shd w:val="clear" w:color="auto" w:fill="D4F0D4"/>
          </w:tcPr>
          <w:p>
            <w:pPr>
              <w:jc w:val="center"/>
            </w:pPr>
            <w:r>
              <w:rPr>
                <w:rFonts w:ascii="Calibri" w:hAnsi="Calibri"/>
                <w:color w:val="FF0000"/>
                <w:sz w:val="18"/>
              </w:rPr>
              <w:t>-58%</w:t>
            </w:r>
          </w:p>
        </w:tc>
        <w:tc>
          <w:tcPr>
            <w:tcW w:type="dxa" w:w="960"/>
            <w:shd w:val="clear" w:color="auto" w:fill="D4F0D4"/>
          </w:tcPr>
          <w:p>
            <w:pPr>
              <w:jc w:val="center"/>
            </w:pPr>
            <w:r>
              <w:rPr>
                <w:rFonts w:ascii="Calibri" w:hAnsi="Calibri"/>
                <w:b/>
                <w:sz w:val="18"/>
              </w:rPr>
              <w:t>16%</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-4%</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sz w:val="18"/>
              </w:rPr>
              <w:t>195</w:t>
            </w:r>
          </w:p>
        </w:tc>
        <w:tc>
          <w:tcPr>
            <w:tcW w:type="dxa" w:w="960"/>
          </w:tcPr>
          <w:p>
            <w:pPr>
              <w:jc w:val="center"/>
            </w:pPr>
            <w:r>
              <w:rPr>
                <w:rFonts w:ascii="Calibri" w:hAnsi="Calibri"/>
                <w:b/>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sz w:val="18"/>
              </w:rPr>
              <w:t>316</w:t>
            </w:r>
          </w:p>
        </w:tc>
        <w:tc>
          <w:tcPr>
            <w:tcW w:type="dxa" w:w="960"/>
          </w:tcPr>
          <w:p>
            <w:pPr>
              <w:jc w:val="center"/>
            </w:pPr>
            <w:r>
              <w:rPr>
                <w:rFonts w:ascii="Calibri" w:hAnsi="Calibri"/>
                <w:b/>
                <w:sz w:val="18"/>
              </w:rPr>
              <w:t>135</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628</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color w:val="FF0000"/>
                <w:sz w:val="18"/>
              </w:rPr>
              <w:t>162%</w:t>
            </w:r>
          </w:p>
        </w:tc>
        <w:tc>
          <w:tcPr>
            <w:tcW w:type="dxa" w:w="960"/>
            <w:shd w:val="clear" w:color="auto" w:fill="D4F0D4"/>
          </w:tcPr>
          <w:p>
            <w:pPr>
              <w:jc w:val="center"/>
            </w:pPr>
            <w:r>
              <w:rPr>
                <w:rFonts w:ascii="Calibri" w:hAnsi="Calibri"/>
                <w:b/>
                <w:sz w:val="18"/>
              </w:rPr>
              <w:t>25%</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54%</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Completed on schedule (92% of planned duration). Full income received (100%). Cost within budget (23% of planned). Profitable (489% margin).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Full income received (103%). Cost within budget (67% of planned). Profitable (47% margin). Labor efficient (70% of planned).</w:t>
      </w:r>
    </w:p>
    <w:p>
      <w:pPr>
        <w:ind w:left="360"/>
      </w:pPr>
      <w:r>
        <w:t xml:space="preserve">• </w:t>
      </w:r>
      <w:r>
        <w:rPr>
          <w:b/>
        </w:rPr>
        <w:t xml:space="preserve">Drilling and Well Installation: </w:t>
      </w:r>
      <w:r>
        <w:t xml:space="preserve">Completed on schedule (89% of planned duration). Partial income received (85%). Cost within budget (86% of planned). Profitable (18% margin). Labor </w:t>
      </w:r>
      <w:r>
        <w:rPr>
          <w:color w:val="FF0000"/>
        </w:rPr>
        <w:t>over budget</w:t>
      </w:r>
      <w:r>
        <w:t xml:space="preserve"> (145% of planned).</w:t>
      </w:r>
    </w:p>
    <w:p>
      <w:pPr>
        <w:ind w:left="360"/>
      </w:pPr>
      <w:r>
        <w:t xml:space="preserve">• </w:t>
      </w:r>
      <w:r>
        <w:rPr>
          <w:b/>
        </w:rPr>
        <w:t xml:space="preserve">Construction and Installation: </w:t>
      </w:r>
      <w:r>
        <w:t xml:space="preserve">Completed </w:t>
      </w:r>
      <w:r>
        <w:rPr>
          <w:color w:val="FF0000"/>
        </w:rPr>
        <w:t>behind schedule</w:t>
      </w:r>
      <w:r>
        <w:t xml:space="preserve"> (357% of planned duration). Partial income received (88%). Cost </w:t>
      </w:r>
      <w:r>
        <w:rPr>
          <w:color w:val="FF0000"/>
        </w:rPr>
        <w:t>over budget</w:t>
      </w:r>
      <w:r>
        <w:t xml:space="preserve"> (272% of planned). </w:t>
      </w:r>
      <w:r>
        <w:rPr>
          <w:color w:val="FF0000"/>
        </w:rPr>
        <w:t>Loss (</w:t>
      </w:r>
      <w:r>
        <w:t xml:space="preserve">-58% margin). Note: This negative margin may be due to the lagging of receiving invoices, which are usually sent at the end of task or end of month. </w:t>
      </w:r>
      <w:r>
        <w:rPr>
          <w:color w:val="FF0000"/>
        </w:rPr>
        <w:t>Labor over budget</w:t>
      </w:r>
      <w:r>
        <w:t xml:space="preserve"> (162% of planned).</w:t>
      </w:r>
    </w:p>
    <w:p>
      <w:r>
        <w:rPr>
          <w:b/>
        </w:rPr>
        <w:t>In Progress Task:</w:t>
      </w:r>
    </w:p>
    <w:p>
      <w:pPr>
        <w:ind w:left="360"/>
      </w:pPr>
      <w:r>
        <w:t xml:space="preserve">• </w:t>
      </w:r>
      <w:r>
        <w:rPr>
          <w:b/>
        </w:rPr>
        <w:t xml:space="preserve">Operation and Maintenance: </w:t>
      </w:r>
      <w:r>
        <w:t>Currently active with ongoing operations. Currently burning 18% of the budget and 25% of the planned labor while the duration is at 24% expected. Progress tracking shows steady advancement toward completion targets.</w:t>
      </w:r>
    </w:p>
    <w:p>
      <w:r>
        <w:rPr>
          <w:b/>
        </w:rPr>
        <w:t>Future Tasks (3 remaining):</w:t>
      </w:r>
    </w:p>
    <w:p>
      <w:pPr>
        <w:ind w:left="360"/>
      </w:pPr>
      <w:r>
        <w:t xml:space="preserve">• </w:t>
      </w:r>
      <w:r>
        <w:rPr>
          <w:b/>
        </w:rPr>
        <w:t xml:space="preserve">Demobilization: </w:t>
      </w:r>
      <w:r>
        <w:t>Actual: 08/18/26 - 09/08/26 | Baseline: 05/04/2026 - 05/25/2026</w:t>
      </w:r>
    </w:p>
    <w:p>
      <w:pPr>
        <w:ind w:left="360"/>
      </w:pPr>
      <w:r>
        <w:t xml:space="preserve">• </w:t>
      </w:r>
      <w:r>
        <w:rPr>
          <w:b/>
        </w:rPr>
        <w:t xml:space="preserve">Reporting: </w:t>
      </w:r>
      <w:r>
        <w:t>Actual: 08/18/26 - 10/12/26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4625"/>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4625"/>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44459"/>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44459"/>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44459"/>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44459"/>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44459"/>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44459"/>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44459"/>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44459"/>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44459"/>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44459"/>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