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November 16, 2025</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b/>
                <w:sz w:val="18"/>
              </w:rPr>
              <w:t>400</w:t>
            </w:r>
          </w:p>
        </w:tc>
        <w:tc>
          <w:tcPr>
            <w:tcW w:type="dxa" w:w="960"/>
          </w:tcPr>
          <w:p>
            <w:pPr>
              <w:jc w:val="center"/>
            </w:pPr>
            <w:r>
              <w:rPr>
                <w:rFonts w:ascii="Calibri" w:hAnsi="Calibri"/>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b/>
                <w:sz w:val="18"/>
              </w:rPr>
              <w:t>Construction</w:t>
            </w:r>
          </w:p>
        </w:tc>
        <w:tc>
          <w:tcPr>
            <w:tcW w:type="dxa" w:w="960"/>
          </w:tcPr>
          <w:p>
            <w:pPr>
              <w:jc w:val="center"/>
            </w:pPr>
            <w:r>
              <w:rPr>
                <w:rFonts w:ascii="Calibri" w:hAnsi="Calibri"/>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b/>
                <w:sz w:val="18"/>
              </w:rPr>
              <w:t>09/02/25 - 12/05/25</w:t>
            </w:r>
          </w:p>
        </w:tc>
        <w:tc>
          <w:tcPr>
            <w:tcW w:type="dxa" w:w="960"/>
          </w:tcPr>
          <w:p>
            <w:pPr>
              <w:jc w:val="center"/>
            </w:pPr>
            <w:r>
              <w:rPr>
                <w:rFonts w:ascii="Calibri" w:hAnsi="Calibri"/>
                <w:sz w:val="18"/>
              </w:rPr>
              <w:t>12/08/25 - 06/25/26</w:t>
            </w:r>
          </w:p>
        </w:tc>
        <w:tc>
          <w:tcPr>
            <w:tcW w:type="dxa" w:w="960"/>
          </w:tcPr>
          <w:p>
            <w:pPr>
              <w:jc w:val="center"/>
            </w:pPr>
            <w:r>
              <w:rPr>
                <w:rFonts w:ascii="Calibri" w:hAnsi="Calibri"/>
                <w:sz w:val="18"/>
              </w:rPr>
              <w:t>06/26/26 - 07/17/26</w:t>
            </w:r>
          </w:p>
        </w:tc>
        <w:tc>
          <w:tcPr>
            <w:tcW w:type="dxa" w:w="960"/>
          </w:tcPr>
          <w:p>
            <w:pPr>
              <w:jc w:val="center"/>
            </w:pPr>
            <w:r>
              <w:rPr>
                <w:rFonts w:ascii="Calibri" w:hAnsi="Calibri"/>
                <w:sz w:val="18"/>
              </w:rPr>
              <w:t>06/26/26 - 08/20/26</w:t>
            </w:r>
          </w:p>
        </w:tc>
        <w:tc>
          <w:tcPr>
            <w:tcW w:type="dxa" w:w="960"/>
          </w:tcPr>
          <w:p>
            <w:pPr>
              <w:jc w:val="center"/>
            </w:pPr>
            <w:r>
              <w:rPr>
                <w:rFonts w:ascii="Calibri" w:hAnsi="Calibri"/>
                <w:sz w:val="18"/>
              </w:rPr>
              <w:t>04/01/25 - 08/20/26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b/>
                <w:sz w:val="18"/>
              </w:rPr>
              <w:t>30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506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b/>
                <w:sz w:val="18"/>
              </w:rPr>
              <w:t>54</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229</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b/>
                <w:color w:val="FF0000"/>
                <w:sz w:val="18"/>
              </w:rPr>
              <w:t>180%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45%</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b/>
                <w:sz w:val="18"/>
              </w:rPr>
              <w:t>$279,193</w:t>
            </w:r>
          </w:p>
        </w:tc>
        <w:tc>
          <w:tcPr>
            <w:tcW w:type="dxa" w:w="960"/>
          </w:tcPr>
          <w:p>
            <w:pPr>
              <w:jc w:val="center"/>
            </w:pPr>
            <w:r>
              <w:rPr>
                <w:rFonts w:ascii="Calibri" w:hAnsi="Calibri"/>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$284,997</w:t>
            </w:r>
          </w:p>
        </w:tc>
        <w:tc>
          <w:tcPr>
            <w:tcW w:type="dxa" w:w="960"/>
          </w:tcPr>
          <w:p>
            <w:pPr>
              <w:jc w:val="center"/>
            </w:pPr>
            <w:r>
              <w:rPr>
                <w:rFonts w:ascii="Calibri" w:hAnsi="Calibri"/>
                <w:sz w:val="18"/>
              </w:rPr>
              <w:t>$464,177</w:t>
            </w:r>
          </w:p>
        </w:tc>
        <w:tc>
          <w:tcPr>
            <w:tcW w:type="dxa" w:w="960"/>
          </w:tcPr>
          <w:p>
            <w:pPr>
              <w:jc w:val="center"/>
            </w:pPr>
            <w:r>
              <w:rPr>
                <w:rFonts w:ascii="Calibri" w:hAnsi="Calibri"/>
                <w:b/>
                <w:sz w:val="18"/>
              </w:rPr>
              <w:t>$92,152</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$946,380</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83%</w:t>
            </w:r>
          </w:p>
        </w:tc>
        <w:tc>
          <w:tcPr>
            <w:tcW w:type="dxa" w:w="960"/>
            <w:shd w:val="clear" w:color="auto" w:fill="D4F0D4"/>
          </w:tcPr>
          <w:p>
            <w:pPr>
              <w:jc w:val="center"/>
            </w:pPr>
            <w:r>
              <w:rPr>
                <w:rFonts w:ascii="Calibri" w:hAnsi="Calibri"/>
                <w:sz w:val="18"/>
              </w:rPr>
              <w:t>78%</w:t>
            </w:r>
          </w:p>
        </w:tc>
        <w:tc>
          <w:tcPr>
            <w:tcW w:type="dxa" w:w="960"/>
            <w:shd w:val="clear" w:color="auto" w:fill="D4F0D4"/>
          </w:tcPr>
          <w:p>
            <w:pPr>
              <w:jc w:val="center"/>
            </w:pPr>
            <w:r>
              <w:rPr>
                <w:rFonts w:ascii="Calibri" w:hAnsi="Calibri"/>
                <w:b/>
                <w:sz w:val="18"/>
              </w:rPr>
              <w:t>33%</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41%</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b/>
                <w:sz w:val="18"/>
              </w:rPr>
              <w:t>$218,009</w:t>
            </w:r>
          </w:p>
        </w:tc>
        <w:tc>
          <w:tcPr>
            <w:tcW w:type="dxa" w:w="960"/>
          </w:tcPr>
          <w:p>
            <w:pPr>
              <w:jc w:val="center"/>
            </w:pPr>
            <w:r>
              <w:rPr>
                <w:rFonts w:ascii="Calibri" w:hAnsi="Calibri"/>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$233,578</w:t>
            </w:r>
          </w:p>
        </w:tc>
        <w:tc>
          <w:tcPr>
            <w:tcW w:type="dxa" w:w="960"/>
          </w:tcPr>
          <w:p>
            <w:pPr>
              <w:jc w:val="center"/>
            </w:pPr>
            <w:r>
              <w:rPr>
                <w:rFonts w:ascii="Calibri" w:hAnsi="Calibri"/>
                <w:sz w:val="18"/>
              </w:rPr>
              <w:t>$420,589</w:t>
            </w:r>
          </w:p>
        </w:tc>
        <w:tc>
          <w:tcPr>
            <w:tcW w:type="dxa" w:w="960"/>
          </w:tcPr>
          <w:p>
            <w:pPr>
              <w:jc w:val="center"/>
            </w:pPr>
            <w:r>
              <w:rPr>
                <w:rFonts w:ascii="Calibri" w:hAnsi="Calibri"/>
                <w:b/>
                <w:sz w:val="18"/>
              </w:rPr>
              <w:t>$307,822</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$979,819</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65%</w:t>
            </w:r>
          </w:p>
        </w:tc>
        <w:tc>
          <w:tcPr>
            <w:tcW w:type="dxa" w:w="960"/>
            <w:shd w:val="clear" w:color="auto" w:fill="D4F0D4"/>
          </w:tcPr>
          <w:p>
            <w:pPr>
              <w:jc w:val="center"/>
            </w:pPr>
            <w:r>
              <w:rPr>
                <w:rFonts w:ascii="Calibri" w:hAnsi="Calibri"/>
                <w:sz w:val="18"/>
              </w:rPr>
              <w:t>84%</w:t>
            </w:r>
          </w:p>
        </w:tc>
        <w:tc>
          <w:tcPr>
            <w:tcW w:type="dxa" w:w="960"/>
            <w:shd w:val="clear" w:color="auto" w:fill="D4F0D4"/>
          </w:tcPr>
          <w:p>
            <w:pPr>
              <w:jc w:val="center"/>
            </w:pPr>
            <w:r>
              <w:rPr>
                <w:rFonts w:ascii="Calibri" w:hAnsi="Calibri"/>
                <w:b/>
                <w:color w:val="FF0000"/>
                <w:sz w:val="18"/>
              </w:rPr>
              <w:t>141%</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54%</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22%</w:t>
            </w:r>
          </w:p>
        </w:tc>
        <w:tc>
          <w:tcPr>
            <w:tcW w:type="dxa" w:w="960"/>
            <w:shd w:val="clear" w:color="auto" w:fill="D4F0D4"/>
          </w:tcPr>
          <w:p>
            <w:pPr>
              <w:jc w:val="center"/>
            </w:pPr>
            <w:r>
              <w:rPr>
                <w:rFonts w:ascii="Calibri" w:hAnsi="Calibri"/>
                <w:sz w:val="18"/>
              </w:rPr>
              <w:t>10%</w:t>
            </w:r>
          </w:p>
        </w:tc>
        <w:tc>
          <w:tcPr>
            <w:tcW w:type="dxa" w:w="960"/>
            <w:shd w:val="clear" w:color="auto" w:fill="D4F0D4"/>
          </w:tcPr>
          <w:p>
            <w:pPr>
              <w:jc w:val="center"/>
            </w:pPr>
            <w:r>
              <w:rPr>
                <w:rFonts w:ascii="Calibri" w:hAnsi="Calibri"/>
                <w:b/>
                <w:color w:val="FF0000"/>
                <w:sz w:val="18"/>
              </w:rPr>
              <w:t>-70%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-3%</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b/>
                <w:sz w:val="18"/>
              </w:rPr>
              <w:t>195</w:t>
            </w:r>
          </w:p>
        </w:tc>
        <w:tc>
          <w:tcPr>
            <w:tcW w:type="dxa" w:w="960"/>
          </w:tcPr>
          <w:p>
            <w:pPr>
              <w:jc w:val="center"/>
            </w:pPr>
            <w:r>
              <w:rPr>
                <w:rFonts w:ascii="Calibri" w:hAnsi="Calibri"/>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b/>
                <w:sz w:val="18"/>
              </w:rPr>
              <w:t>209</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386</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b/>
                <w:color w:val="FF0000"/>
                <w:sz w:val="18"/>
              </w:rPr>
              <w:t>107%</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33%</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Partial income received (83%). Cost within budget (65% of planned). Profitable (22% margin). Labor efficient (70% of planned).</w:t>
      </w:r>
    </w:p>
    <w:p>
      <w:pPr>
        <w:ind w:left="360"/>
      </w:pPr>
      <w:r>
        <w:t xml:space="preserve">• </w:t>
      </w:r>
      <w:r>
        <w:rPr>
          <w:b/>
        </w:rPr>
        <w:t xml:space="preserve">Drilling and Well Installation: </w:t>
      </w:r>
      <w:r>
        <w:t xml:space="preserve">Completed on schedule (89% of planned duration). Partial income received (78%). Cost within budget (84% of planned). Profitable (10% margin). Labor </w:t>
      </w:r>
      <w:r>
        <w:rPr>
          <w:color w:val="FF0000"/>
        </w:rPr>
        <w:t>over budget</w:t>
      </w:r>
      <w:r>
        <w:t xml:space="preserve"> (145% of planned).</w:t>
      </w:r>
    </w:p>
    <w:p>
      <w:r>
        <w:rPr>
          <w:b/>
        </w:rPr>
        <w:t>In Progress Task:</w:t>
      </w:r>
    </w:p>
    <w:p>
      <w:pPr>
        <w:ind w:left="360"/>
      </w:pPr>
      <w:r>
        <w:t xml:space="preserve">• </w:t>
      </w:r>
      <w:r>
        <w:rPr>
          <w:b/>
        </w:rPr>
        <w:t xml:space="preserve">Construction and Installation: </w:t>
      </w:r>
      <w:r>
        <w:t xml:space="preserve">Currently active with ongoing operations. Currently burning 141% of the budget and 107% of the planned labor while the duration is at 180% expected. </w:t>
      </w:r>
      <w:r>
        <w:rPr>
          <w:color w:val="FF0000"/>
        </w:rPr>
        <w:t>A delay is expected</w:t>
      </w:r>
      <w:r>
        <w:t>.</w:t>
      </w:r>
    </w:p>
    <w:p>
      <w:r>
        <w:rPr>
          <w:b/>
        </w:rPr>
        <w:t>Future Tasks (3 remaining):</w:t>
      </w:r>
    </w:p>
    <w:p>
      <w:pPr>
        <w:ind w:left="360"/>
      </w:pPr>
      <w:r>
        <w:t xml:space="preserve">• </w:t>
      </w:r>
      <w:r>
        <w:rPr>
          <w:b/>
        </w:rPr>
        <w:t xml:space="preserve">Operation and Maintenance: </w:t>
      </w:r>
      <w:r>
        <w:t>Actual: 12/08/25 - 06/25/26 | Baseline: 10/14/2025 - 05/01/2026</w:t>
      </w:r>
    </w:p>
    <w:p>
      <w:pPr>
        <w:ind w:left="360"/>
      </w:pPr>
      <w:r>
        <w:t xml:space="preserve">• </w:t>
      </w:r>
      <w:r>
        <w:rPr>
          <w:b/>
        </w:rPr>
        <w:t xml:space="preserve">Demobilization: </w:t>
      </w:r>
      <w:r>
        <w:t>Actual: 06/26/26 - 07/17/26 | Baseline: 05/04/2026 - 05/25/2026</w:t>
      </w:r>
    </w:p>
    <w:p>
      <w:pPr>
        <w:ind w:left="360"/>
      </w:pPr>
      <w:r>
        <w:t xml:space="preserve">• </w:t>
      </w:r>
      <w:r>
        <w:rPr>
          <w:b/>
        </w:rPr>
        <w:t xml:space="preserve">Reporting: </w:t>
      </w:r>
      <w:r>
        <w:t>Actual: 06/26/26 - 08/20/26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