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7"/>
        </w:rPr>
        <w:t xml:space="preserve"> </w:t>
      </w:r>
      <w:r>
        <w:rPr>
          <w:rStyle w:val="7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添加库存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库存名也要提交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维修单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是否可以取消 -- 暂不可以取消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直接在维修单修改配件/工具状态，不作入库处理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查看是否已经签字/取消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查看是否工具/配件已经处理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可以通过入库处理，也可以直接再维修单处修改状态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删除配件表 -- 不能删除，绑定入库信息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MyServiceException(</w:t>
      </w:r>
      <w:r>
        <w:rPr>
          <w:rFonts w:hint="eastAsia" w:ascii="新宋体" w:hAnsi="新宋体" w:eastAsia="新宋体"/>
          <w:color w:val="A31515"/>
          <w:sz w:val="19"/>
        </w:rPr>
        <w:t>"该配件已入库，需要绑定来源，请先将该库存和对应入库信息删除"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1. 状态更新 - UpdateToolStatus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2. 信息更新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更新整个（包括出库单，工具，配件）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判断是否已经有处理完成的工具/配件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更新维修单基本信息，但不更新关联信息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工具/旧配件入库（处理） -- 入库了是否还可以回滚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采用不回滚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，只要处理的数据，让其更新失败，或者管理员强制修改处理状态，在重新更新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获取所有 --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是否完成签字或取消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获取还有未处理工具的维修单 -- ToolStatus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获取还有未处理的旧配件的维修单 -- OldPartStatus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获取未签字/取消的维修单 -- Status </w:t>
      </w:r>
      <w:r>
        <w:rPr>
          <w:rFonts w:hint="eastAsia" w:ascii="新宋体" w:hAnsi="新宋体" w:eastAsia="新宋体"/>
          <w:color w:val="008000"/>
          <w:sz w:val="19"/>
        </w:rPr>
        <w:t>0没有，1 签了，-1 不用理会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条件模糊查询：维修单号，员工，开始时间范围(只针对开始维修时间)，负责人，关联预约单： 车牌，公司，联系人，联系电话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工具：工具名，品牌，规格，数量，单位，单价，状态，备注，归还数量，赔偿金额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旧配件：配件名，品牌，规格，数量，单位，单价，状态，备注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购买的配件：配件名，品牌，规格，数量，单位，单价，总价（前端看情况添加）</w:t>
      </w:r>
    </w:p>
    <w:p>
      <w:pPr>
        <w:numPr>
          <w:numId w:val="0"/>
        </w:numPr>
        <w:tabs>
          <w:tab w:val="left" w:pos="2527"/>
        </w:tabs>
        <w:bidi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2527"/>
        </w:tabs>
        <w:bidi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添加旧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配件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F9909C1"/>
    <w:multiLevelType w:val="singleLevel"/>
    <w:tmpl w:val="5F9909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69A3A5E"/>
    <w:rsid w:val="08074575"/>
    <w:rsid w:val="08230E46"/>
    <w:rsid w:val="09A66924"/>
    <w:rsid w:val="0B77254C"/>
    <w:rsid w:val="0C711A75"/>
    <w:rsid w:val="0CB13B47"/>
    <w:rsid w:val="0CF52986"/>
    <w:rsid w:val="0DCE42CD"/>
    <w:rsid w:val="0ED45634"/>
    <w:rsid w:val="1174418C"/>
    <w:rsid w:val="159F17DA"/>
    <w:rsid w:val="16F57052"/>
    <w:rsid w:val="17DB6965"/>
    <w:rsid w:val="19611811"/>
    <w:rsid w:val="19C57ED2"/>
    <w:rsid w:val="1BD00AC0"/>
    <w:rsid w:val="1BDF1B2E"/>
    <w:rsid w:val="1CBB3151"/>
    <w:rsid w:val="1F2520DA"/>
    <w:rsid w:val="1FD3690D"/>
    <w:rsid w:val="206D5698"/>
    <w:rsid w:val="21464AE0"/>
    <w:rsid w:val="21F10A30"/>
    <w:rsid w:val="22265160"/>
    <w:rsid w:val="22FC19C9"/>
    <w:rsid w:val="235721B3"/>
    <w:rsid w:val="23803042"/>
    <w:rsid w:val="23E869EB"/>
    <w:rsid w:val="25006CFB"/>
    <w:rsid w:val="2655753E"/>
    <w:rsid w:val="26B9649B"/>
    <w:rsid w:val="27214679"/>
    <w:rsid w:val="28D41539"/>
    <w:rsid w:val="29AD683C"/>
    <w:rsid w:val="2C5E54E2"/>
    <w:rsid w:val="2FF341C2"/>
    <w:rsid w:val="329C1220"/>
    <w:rsid w:val="34950D1C"/>
    <w:rsid w:val="34BA6AEA"/>
    <w:rsid w:val="34D223E6"/>
    <w:rsid w:val="3550527C"/>
    <w:rsid w:val="356A639B"/>
    <w:rsid w:val="358D2A07"/>
    <w:rsid w:val="35FD0355"/>
    <w:rsid w:val="36E60F1D"/>
    <w:rsid w:val="3804149D"/>
    <w:rsid w:val="39A1356B"/>
    <w:rsid w:val="3A355B31"/>
    <w:rsid w:val="3DD828DF"/>
    <w:rsid w:val="3F7C6A20"/>
    <w:rsid w:val="400A1674"/>
    <w:rsid w:val="403859A7"/>
    <w:rsid w:val="42BA1781"/>
    <w:rsid w:val="438E59DC"/>
    <w:rsid w:val="44660AAC"/>
    <w:rsid w:val="46AE6FAD"/>
    <w:rsid w:val="47505763"/>
    <w:rsid w:val="47C16DD2"/>
    <w:rsid w:val="48996D9A"/>
    <w:rsid w:val="49FA1FD7"/>
    <w:rsid w:val="4B21019D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5D6B3A6D"/>
    <w:rsid w:val="5DBF20B1"/>
    <w:rsid w:val="5E643A8B"/>
    <w:rsid w:val="62631E13"/>
    <w:rsid w:val="63A66727"/>
    <w:rsid w:val="645379BB"/>
    <w:rsid w:val="64F205F8"/>
    <w:rsid w:val="65283588"/>
    <w:rsid w:val="65FB2748"/>
    <w:rsid w:val="6617493B"/>
    <w:rsid w:val="663269E9"/>
    <w:rsid w:val="66C82C94"/>
    <w:rsid w:val="67592B97"/>
    <w:rsid w:val="683D402B"/>
    <w:rsid w:val="68E476FB"/>
    <w:rsid w:val="69F50331"/>
    <w:rsid w:val="6ABD368C"/>
    <w:rsid w:val="6BE16B94"/>
    <w:rsid w:val="6C5201B6"/>
    <w:rsid w:val="6D1604CB"/>
    <w:rsid w:val="70B35647"/>
    <w:rsid w:val="70DE1DF8"/>
    <w:rsid w:val="731A4F30"/>
    <w:rsid w:val="73A4142E"/>
    <w:rsid w:val="7462775F"/>
    <w:rsid w:val="755631F6"/>
    <w:rsid w:val="759A4CBB"/>
    <w:rsid w:val="776A7F34"/>
    <w:rsid w:val="7A1945E7"/>
    <w:rsid w:val="7A6F63E6"/>
    <w:rsid w:val="7B9D4669"/>
    <w:rsid w:val="7C602FC9"/>
    <w:rsid w:val="7D2272F5"/>
    <w:rsid w:val="7D7C5252"/>
    <w:rsid w:val="7E317109"/>
    <w:rsid w:val="7E7635D3"/>
    <w:rsid w:val="7EF63B89"/>
    <w:rsid w:val="7F625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谭文龙</cp:lastModifiedBy>
  <dcterms:modified xsi:type="dcterms:W3CDTF">2020-10-28T13:15:07Z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