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9749"/>
      <w:bookmarkStart w:id="1" w:name="_Toc14721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14534"/>
      <w:bookmarkStart w:id="7" w:name="_Toc28188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6682"/>
      <w:bookmarkStart w:id="11" w:name="_Toc13620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7"/>
        <w:tblW w:w="91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15738"/>
      <w:bookmarkStart w:id="15" w:name="_Toc25168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6658"/>
      <w:bookmarkStart w:id="18" w:name="_Toc25324"/>
      <w:bookmarkStart w:id="19" w:name="_Toc23238"/>
      <w:bookmarkStart w:id="20" w:name="_Toc125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4722"/>
      <w:bookmarkStart w:id="23" w:name="_Toc11811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27272"/>
      <w:bookmarkStart w:id="26" w:name="_Toc3258"/>
      <w:bookmarkStart w:id="27" w:name="_Toc4620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17362"/>
      <w:bookmarkStart w:id="39" w:name="_Toc27332"/>
      <w:bookmarkStart w:id="40" w:name="_Toc2183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10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库存修改表，该表用来记录库存修改记录信息。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库存修改表（sms_sku_edit）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5"/>
        <w:keepNext w:val="0"/>
        <w:keepLines w:val="0"/>
        <w:widowControl/>
        <w:suppressLineNumbers w:val="0"/>
      </w:pPr>
      <w:r>
        <w:t>请求数据返回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102 || 202 || 303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{} || [] || </w:t>
      </w:r>
      <w:r>
        <w:t>""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101：成功；102：访问成功，但条件不足，过程并没有出错；202：服务器异常，出错了；303：权限不足；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路径：/client/update/id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1" w:name="_GoBack"/>
      <w:bookmarkEnd w:id="61"/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28F"/>
    <w:rsid w:val="05857E7C"/>
    <w:rsid w:val="08E625C9"/>
    <w:rsid w:val="0D825FD2"/>
    <w:rsid w:val="0E3420C6"/>
    <w:rsid w:val="101C5867"/>
    <w:rsid w:val="18831528"/>
    <w:rsid w:val="29175AD5"/>
    <w:rsid w:val="2B7D3F53"/>
    <w:rsid w:val="383630A6"/>
    <w:rsid w:val="3F893750"/>
    <w:rsid w:val="479C41ED"/>
    <w:rsid w:val="4A110F65"/>
    <w:rsid w:val="54F67664"/>
    <w:rsid w:val="64CA2E5E"/>
    <w:rsid w:val="69CA5BDD"/>
    <w:rsid w:val="6CD10EDA"/>
    <w:rsid w:val="7C173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styleId="10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谭文龙</cp:lastModifiedBy>
  <dcterms:modified xsi:type="dcterms:W3CDTF">2020-10-13T14:26:47Z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