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BIRD Mini-Dev 验证性实验两页报告</w:t>
      </w:r>
    </w:p>
    <w:p>
      <w:pPr>
        <w:jc w:val="center"/>
      </w:pPr>
      <w:r>
        <w:rPr>
          <w:color w:val="50616C"/>
          <w:sz w:val="18"/>
        </w:rPr>
        <w:t>小模型 Schema 鲁棒性与向量检索桥接偏差</w:t>
      </w:r>
    </w:p>
    <w:p>
      <w:pPr>
        <w:spacing w:after="0"/>
        <w:jc w:val="center"/>
      </w:pPr>
      <w:r>
        <w:rPr>
          <w:sz w:val="16"/>
        </w:rPr>
        <w:t>实验日期：2026 年 10 月 21 日</w:t>
      </w:r>
    </w:p>
    <w:p>
      <w:pPr>
        <w:spacing w:after="0"/>
        <w:jc w:val="center"/>
      </w:pPr>
      <w:r>
        <w:rPr>
          <w:sz w:val="16"/>
        </w:rPr>
        <w:t>数据：BIRD Mini-Dev SQLite，500 题，11 个数据库</w:t>
      </w:r>
    </w:p>
    <w:p>
      <w:pPr>
        <w:spacing w:after="0"/>
        <w:jc w:val="center"/>
      </w:pPr>
      <w:r>
        <w:rPr>
          <w:sz w:val="16"/>
        </w:rPr>
        <w:t>模型：Qwen3-0.6B/1.7B/4B、Qwen2.5-Coder-1.5B、DeepSeek API</w:t>
      </w:r>
    </w:p>
    <w:p>
      <w:pPr>
        <w:pStyle w:val="Heading1"/>
      </w:pPr>
      <w:r>
        <w:t>1 验证目的与通过标准</w:t>
      </w:r>
    </w:p>
    <w:p>
      <w:pPr>
        <w:spacing w:after="40"/>
      </w:pPr>
      <w:r>
        <w:t>验证小模型相对于 API 大模型是否更容易受到 schema 多给与漏给的影响，并检查向量检索是否系统性漏掉跨表连接所需成分。原任务书通过标准要求：小模型在多给 20 列时的准确率下降比 DeepSeek 多至少 10 pp，且桥接成分漏选率显著高于普通列。</w:t>
      </w:r>
    </w:p>
    <w:p>
      <w:pPr>
        <w:pStyle w:val="Heading1"/>
      </w:pPr>
      <w:r>
        <w:t>2 实验规模与执行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0"/>
            <w:vAlign w:val="center"/>
            <w:shd w:fill="245A6A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/>
                <w:color w:val="FFFFFF"/>
                <w:sz w:val="14"/>
              </w:rPr>
              <w:t>实验块</w:t>
            </w:r>
          </w:p>
        </w:tc>
        <w:tc>
          <w:tcPr>
            <w:tcW w:type="dxa" w:w="1"/>
            <w:vAlign w:val="center"/>
            <w:shd w:fill="245A6A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/>
                <w:color w:val="FFFFFF"/>
                <w:sz w:val="14"/>
              </w:rPr>
              <w:t>覆盖范围</w:t>
            </w:r>
          </w:p>
        </w:tc>
        <w:tc>
          <w:tcPr>
            <w:tcW w:type="dxa" w:w="0"/>
            <w:vAlign w:val="center"/>
            <w:shd w:fill="245A6A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/>
                <w:color w:val="FFFFFF"/>
                <w:sz w:val="14"/>
              </w:rPr>
              <w:t>状态</w:t>
            </w:r>
          </w:p>
        </w:tc>
      </w:tr>
      <w:tr>
        <w:tc>
          <w:tcPr>
            <w:tcW w:type="dxa" w:w="0"/>
            <w:vAlign w:val="center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 w:val="0"/>
                <w:color w:val="17232E"/>
                <w:sz w:val="14"/>
              </w:rPr>
              <w:t>多给扰动</w:t>
            </w:r>
          </w:p>
        </w:tc>
        <w:tc>
          <w:tcPr>
            <w:tcW w:type="dxa" w:w="1"/>
            <w:vAlign w:val="center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 w:val="0"/>
                <w:color w:val="17232E"/>
                <w:sz w:val="14"/>
              </w:rPr>
              <w:t>base + random/synonym × 5/10/20/50，每模型 4,500 条</w:t>
            </w:r>
          </w:p>
        </w:tc>
        <w:tc>
          <w:tcPr>
            <w:tcW w:type="dxa" w:w="0"/>
            <w:vAlign w:val="center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 w:val="0"/>
                <w:color w:val="17232E"/>
                <w:sz w:val="14"/>
              </w:rPr>
              <w:t>已完成</w:t>
            </w:r>
          </w:p>
        </w:tc>
      </w:tr>
      <w:tr>
        <w:tc>
          <w:tcPr>
            <w:tcW w:type="dxa" w:w="0"/>
            <w:vAlign w:val="center"/>
            <w:shd w:fill="F2F5F4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 w:val="0"/>
                <w:color w:val="17232E"/>
                <w:sz w:val="14"/>
              </w:rPr>
              <w:t>真实近义列</w:t>
            </w:r>
          </w:p>
        </w:tc>
        <w:tc>
          <w:tcPr>
            <w:tcW w:type="dxa" w:w="1"/>
            <w:vAlign w:val="center"/>
            <w:shd w:fill="F2F5F4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 w:val="0"/>
                <w:color w:val="17232E"/>
                <w:sz w:val="14"/>
              </w:rPr>
              <w:t>427 题 × 5 模型，共 2,135 条</w:t>
            </w:r>
          </w:p>
        </w:tc>
        <w:tc>
          <w:tcPr>
            <w:tcW w:type="dxa" w:w="0"/>
            <w:vAlign w:val="center"/>
            <w:shd w:fill="F2F5F4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 w:val="0"/>
                <w:color w:val="17232E"/>
                <w:sz w:val="14"/>
              </w:rPr>
              <w:t>已完成</w:t>
            </w:r>
          </w:p>
        </w:tc>
      </w:tr>
      <w:tr>
        <w:tc>
          <w:tcPr>
            <w:tcW w:type="dxa" w:w="0"/>
            <w:vAlign w:val="center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 w:val="0"/>
                <w:color w:val="17232E"/>
                <w:sz w:val="14"/>
              </w:rPr>
              <w:t>漏给扰动</w:t>
            </w:r>
          </w:p>
        </w:tc>
        <w:tc>
          <w:tcPr>
            <w:tcW w:type="dxa" w:w="1"/>
            <w:vAlign w:val="center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 w:val="0"/>
                <w:color w:val="17232E"/>
                <w:sz w:val="14"/>
              </w:rPr>
              <w:t>桥接表 103 + 外键列 494，每模型 597 条</w:t>
            </w:r>
          </w:p>
        </w:tc>
        <w:tc>
          <w:tcPr>
            <w:tcW w:type="dxa" w:w="0"/>
            <w:vAlign w:val="center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 w:val="0"/>
                <w:color w:val="17232E"/>
                <w:sz w:val="14"/>
              </w:rPr>
              <w:t>已完成</w:t>
            </w:r>
          </w:p>
        </w:tc>
      </w:tr>
      <w:tr>
        <w:tc>
          <w:tcPr>
            <w:tcW w:type="dxa" w:w="0"/>
            <w:vAlign w:val="center"/>
            <w:shd w:fill="F2F5F4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 w:val="0"/>
                <w:color w:val="17232E"/>
                <w:sz w:val="14"/>
              </w:rPr>
              <w:t>检索偏差</w:t>
            </w:r>
          </w:p>
        </w:tc>
        <w:tc>
          <w:tcPr>
            <w:tcW w:type="dxa" w:w="1"/>
            <w:vAlign w:val="center"/>
            <w:shd w:fill="F2F5F4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 w:val="0"/>
                <w:color w:val="17232E"/>
                <w:sz w:val="14"/>
              </w:rPr>
              <w:t>500 题，k=5/10/20/50，问题聚类 bootstrap</w:t>
            </w:r>
          </w:p>
        </w:tc>
        <w:tc>
          <w:tcPr>
            <w:tcW w:type="dxa" w:w="0"/>
            <w:vAlign w:val="center"/>
            <w:shd w:fill="F2F5F4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 w:val="0"/>
                <w:color w:val="17232E"/>
                <w:sz w:val="14"/>
              </w:rPr>
              <w:t>已完成</w:t>
            </w:r>
          </w:p>
        </w:tc>
      </w:tr>
      <w:tr>
        <w:tc>
          <w:tcPr>
            <w:tcW w:type="dxa" w:w="0"/>
            <w:vAlign w:val="center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 w:val="0"/>
                <w:color w:val="17232E"/>
                <w:sz w:val="14"/>
              </w:rPr>
              <w:t>执行评分</w:t>
            </w:r>
          </w:p>
        </w:tc>
        <w:tc>
          <w:tcPr>
            <w:tcW w:type="dxa" w:w="1"/>
            <w:vAlign w:val="center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 w:val="0"/>
                <w:color w:val="17232E"/>
                <w:sz w:val="14"/>
              </w:rPr>
              <w:t>五模型 SQLite 执行，官方 set 语义，30 秒超时</w:t>
            </w:r>
          </w:p>
        </w:tc>
        <w:tc>
          <w:tcPr>
            <w:tcW w:type="dxa" w:w="0"/>
            <w:vAlign w:val="center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 w:val="0"/>
                <w:color w:val="17232E"/>
                <w:sz w:val="14"/>
              </w:rPr>
              <w:t>已完成</w:t>
            </w:r>
          </w:p>
        </w:tc>
      </w:tr>
    </w:tbl>
    <w:p>
      <w:pPr>
        <w:pStyle w:val="Heading1"/>
      </w:pPr>
      <w:r>
        <w:t>3 关键结果</w:t>
      </w:r>
    </w:p>
    <w:p>
      <w:pPr>
        <w:pStyle w:val="Heading2"/>
      </w:pPr>
      <w:r>
        <w:t>3.1 检索门槛：通过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0"/>
            <w:vAlign w:val="center"/>
            <w:shd w:fill="245A6A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/>
                <w:color w:val="FFFFFF"/>
                <w:sz w:val="14"/>
              </w:rPr>
              <w:t>指标</w:t>
            </w:r>
          </w:p>
        </w:tc>
        <w:tc>
          <w:tcPr>
            <w:tcW w:type="dxa" w:w="0"/>
            <w:vAlign w:val="center"/>
            <w:shd w:fill="245A6A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/>
                <w:color w:val="FFFFFF"/>
                <w:sz w:val="14"/>
              </w:rPr>
              <w:t>漏选率</w:t>
            </w:r>
          </w:p>
        </w:tc>
        <w:tc>
          <w:tcPr>
            <w:tcW w:type="dxa" w:w="0"/>
            <w:vAlign w:val="center"/>
            <w:shd w:fill="245A6A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/>
                <w:color w:val="FFFFFF"/>
                <w:sz w:val="14"/>
              </w:rPr>
              <w:t>相对单表目标列</w:t>
            </w:r>
          </w:p>
        </w:tc>
      </w:tr>
      <w:tr>
        <w:tc>
          <w:tcPr>
            <w:tcW w:type="dxa" w:w="0"/>
            <w:vAlign w:val="center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 w:val="0"/>
                <w:color w:val="17232E"/>
                <w:sz w:val="14"/>
              </w:rPr>
              <w:t>单表目标列</w:t>
            </w:r>
          </w:p>
        </w:tc>
        <w:tc>
          <w:tcPr>
            <w:tcW w:type="dxa" w:w="0"/>
            <w:vAlign w:val="center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 w:val="0"/>
                <w:color w:val="17232E"/>
                <w:sz w:val="14"/>
              </w:rPr>
              <w:t>28.71%</w:t>
            </w:r>
          </w:p>
        </w:tc>
        <w:tc>
          <w:tcPr>
            <w:tcW w:type="dxa" w:w="0"/>
            <w:vAlign w:val="center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 w:val="0"/>
                <w:color w:val="17232E"/>
                <w:sz w:val="14"/>
              </w:rPr>
              <w:t>参照</w:t>
            </w:r>
          </w:p>
        </w:tc>
      </w:tr>
      <w:tr>
        <w:tc>
          <w:tcPr>
            <w:tcW w:type="dxa" w:w="0"/>
            <w:vAlign w:val="center"/>
            <w:shd w:fill="F2F5F4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 w:val="0"/>
                <w:color w:val="17232E"/>
                <w:sz w:val="14"/>
              </w:rPr>
              <w:t>桥接表内列</w:t>
            </w:r>
          </w:p>
        </w:tc>
        <w:tc>
          <w:tcPr>
            <w:tcW w:type="dxa" w:w="0"/>
            <w:vAlign w:val="center"/>
            <w:shd w:fill="F2F5F4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 w:val="0"/>
                <w:color w:val="17232E"/>
                <w:sz w:val="14"/>
              </w:rPr>
              <w:t>41.60%</w:t>
            </w:r>
          </w:p>
        </w:tc>
        <w:tc>
          <w:tcPr>
            <w:tcW w:type="dxa" w:w="0"/>
            <w:vAlign w:val="center"/>
            <w:shd w:fill="F2F5F4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 w:val="0"/>
                <w:color w:val="17232E"/>
                <w:sz w:val="14"/>
              </w:rPr>
              <w:t>+12.89 pp</w:t>
            </w:r>
          </w:p>
        </w:tc>
      </w:tr>
      <w:tr>
        <w:tc>
          <w:tcPr>
            <w:tcW w:type="dxa" w:w="0"/>
            <w:vAlign w:val="center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 w:val="0"/>
                <w:color w:val="17232E"/>
                <w:sz w:val="14"/>
              </w:rPr>
              <w:t>外键/关键连接列</w:t>
            </w:r>
          </w:p>
        </w:tc>
        <w:tc>
          <w:tcPr>
            <w:tcW w:type="dxa" w:w="0"/>
            <w:vAlign w:val="center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 w:val="0"/>
                <w:color w:val="17232E"/>
                <w:sz w:val="14"/>
              </w:rPr>
              <w:t>57.85%</w:t>
            </w:r>
          </w:p>
        </w:tc>
        <w:tc>
          <w:tcPr>
            <w:tcW w:type="dxa" w:w="0"/>
            <w:vAlign w:val="center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 w:val="0"/>
                <w:color w:val="17232E"/>
                <w:sz w:val="14"/>
              </w:rPr>
              <w:t>+29.14 pp</w:t>
            </w:r>
          </w:p>
        </w:tc>
      </w:tr>
      <w:tr>
        <w:tc>
          <w:tcPr>
            <w:tcW w:type="dxa" w:w="0"/>
            <w:vAlign w:val="center"/>
            <w:shd w:fill="F2F5F4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 w:val="0"/>
                <w:color w:val="17232E"/>
                <w:sz w:val="14"/>
              </w:rPr>
              <w:t>桥接成分并集</w:t>
            </w:r>
          </w:p>
        </w:tc>
        <w:tc>
          <w:tcPr>
            <w:tcW w:type="dxa" w:w="0"/>
            <w:vAlign w:val="center"/>
            <w:shd w:fill="F2F5F4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 w:val="0"/>
                <w:color w:val="17232E"/>
                <w:sz w:val="14"/>
              </w:rPr>
              <w:t>56.88%</w:t>
            </w:r>
          </w:p>
        </w:tc>
        <w:tc>
          <w:tcPr>
            <w:tcW w:type="dxa" w:w="0"/>
            <w:vAlign w:val="center"/>
            <w:shd w:fill="F2F5F4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 w:val="0"/>
                <w:color w:val="17232E"/>
                <w:sz w:val="14"/>
              </w:rPr>
              <w:t>+28.17 pp [+20.58, +35.65]</w:t>
            </w:r>
          </w:p>
        </w:tc>
      </w:tr>
    </w:tbl>
    <w:p>
      <w:pPr>
        <w:pStyle w:val="Heading2"/>
      </w:pPr>
      <w:r>
        <w:t>3.2 多给 20 列执行门槛：未通过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6"/>
        <w:gridCol w:w="2096"/>
        <w:gridCol w:w="2096"/>
        <w:gridCol w:w="2096"/>
        <w:gridCol w:w="2096"/>
      </w:tblGrid>
      <w:tr>
        <w:tc>
          <w:tcPr>
            <w:tcW w:type="dxa" w:w="0"/>
            <w:vAlign w:val="center"/>
            <w:shd w:fill="245A6A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/>
                <w:color w:val="FFFFFF"/>
                <w:sz w:val="14"/>
              </w:rPr>
              <w:t>模型</w:t>
            </w:r>
          </w:p>
        </w:tc>
        <w:tc>
          <w:tcPr>
            <w:tcW w:type="dxa" w:w="0"/>
            <w:vAlign w:val="center"/>
            <w:shd w:fill="245A6A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/>
                <w:color w:val="FFFFFF"/>
                <w:sz w:val="14"/>
              </w:rPr>
              <w:t>随机 20 列准确率</w:t>
            </w:r>
          </w:p>
        </w:tc>
        <w:tc>
          <w:tcPr>
            <w:tcW w:type="dxa" w:w="0"/>
            <w:vAlign w:val="center"/>
            <w:shd w:fill="245A6A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/>
                <w:color w:val="FFFFFF"/>
                <w:sz w:val="14"/>
              </w:rPr>
              <w:t>下降差（小模型-DeepSeek）</w:t>
            </w:r>
          </w:p>
        </w:tc>
        <w:tc>
          <w:tcPr>
            <w:tcW w:type="dxa" w:w="0"/>
            <w:vAlign w:val="center"/>
            <w:shd w:fill="245A6A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/>
                <w:color w:val="FFFFFF"/>
                <w:sz w:val="14"/>
              </w:rPr>
              <w:t>近义 20 列下降差</w:t>
            </w:r>
          </w:p>
        </w:tc>
        <w:tc>
          <w:tcPr>
            <w:tcW w:type="dxa" w:w="0"/>
            <w:vAlign w:val="center"/>
            <w:shd w:fill="245A6A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/>
                <w:color w:val="FFFFFF"/>
                <w:sz w:val="14"/>
              </w:rPr>
              <w:t>通过</w:t>
            </w:r>
          </w:p>
        </w:tc>
      </w:tr>
      <w:tr>
        <w:tc>
          <w:tcPr>
            <w:tcW w:type="dxa" w:w="0"/>
            <w:vAlign w:val="center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 w:val="0"/>
                <w:color w:val="17232E"/>
                <w:sz w:val="14"/>
              </w:rPr>
              <w:t>Qwen3-0.6B</w:t>
            </w:r>
          </w:p>
        </w:tc>
        <w:tc>
          <w:tcPr>
            <w:tcW w:type="dxa" w:w="0"/>
            <w:vAlign w:val="center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 w:val="0"/>
                <w:color w:val="17232E"/>
                <w:sz w:val="14"/>
              </w:rPr>
              <w:t>10.00%</w:t>
            </w:r>
          </w:p>
        </w:tc>
        <w:tc>
          <w:tcPr>
            <w:tcW w:type="dxa" w:w="0"/>
            <w:vAlign w:val="center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 w:val="0"/>
                <w:color w:val="17232E"/>
                <w:sz w:val="14"/>
              </w:rPr>
              <w:t>-1.80 pp</w:t>
            </w:r>
          </w:p>
        </w:tc>
        <w:tc>
          <w:tcPr>
            <w:tcW w:type="dxa" w:w="0"/>
            <w:vAlign w:val="center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 w:val="0"/>
                <w:color w:val="17232E"/>
                <w:sz w:val="14"/>
              </w:rPr>
              <w:t>-31.20 pp</w:t>
            </w:r>
          </w:p>
        </w:tc>
        <w:tc>
          <w:tcPr>
            <w:tcW w:type="dxa" w:w="0"/>
            <w:vAlign w:val="center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 w:val="0"/>
                <w:color w:val="17232E"/>
                <w:sz w:val="14"/>
              </w:rPr>
              <w:t>否</w:t>
            </w:r>
          </w:p>
        </w:tc>
      </w:tr>
      <w:tr>
        <w:tc>
          <w:tcPr>
            <w:tcW w:type="dxa" w:w="0"/>
            <w:vAlign w:val="center"/>
            <w:shd w:fill="F2F5F4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 w:val="0"/>
                <w:color w:val="17232E"/>
                <w:sz w:val="14"/>
              </w:rPr>
              <w:t>Qwen3-1.7B</w:t>
            </w:r>
          </w:p>
        </w:tc>
        <w:tc>
          <w:tcPr>
            <w:tcW w:type="dxa" w:w="0"/>
            <w:vAlign w:val="center"/>
            <w:shd w:fill="F2F5F4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 w:val="0"/>
                <w:color w:val="17232E"/>
                <w:sz w:val="14"/>
              </w:rPr>
              <w:t>21.80%</w:t>
            </w:r>
          </w:p>
        </w:tc>
        <w:tc>
          <w:tcPr>
            <w:tcW w:type="dxa" w:w="0"/>
            <w:vAlign w:val="center"/>
            <w:shd w:fill="F2F5F4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 w:val="0"/>
                <w:color w:val="17232E"/>
                <w:sz w:val="14"/>
              </w:rPr>
              <w:t>-1.00 pp</w:t>
            </w:r>
          </w:p>
        </w:tc>
        <w:tc>
          <w:tcPr>
            <w:tcW w:type="dxa" w:w="0"/>
            <w:vAlign w:val="center"/>
            <w:shd w:fill="F2F5F4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 w:val="0"/>
                <w:color w:val="17232E"/>
                <w:sz w:val="14"/>
              </w:rPr>
              <w:t>-24.80 pp</w:t>
            </w:r>
          </w:p>
        </w:tc>
        <w:tc>
          <w:tcPr>
            <w:tcW w:type="dxa" w:w="0"/>
            <w:vAlign w:val="center"/>
            <w:shd w:fill="F2F5F4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 w:val="0"/>
                <w:color w:val="17232E"/>
                <w:sz w:val="14"/>
              </w:rPr>
              <w:t>否</w:t>
            </w:r>
          </w:p>
        </w:tc>
      </w:tr>
      <w:tr>
        <w:tc>
          <w:tcPr>
            <w:tcW w:type="dxa" w:w="0"/>
            <w:vAlign w:val="center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 w:val="0"/>
                <w:color w:val="17232E"/>
                <w:sz w:val="14"/>
              </w:rPr>
              <w:t>Qwen3-4B</w:t>
            </w:r>
          </w:p>
        </w:tc>
        <w:tc>
          <w:tcPr>
            <w:tcW w:type="dxa" w:w="0"/>
            <w:vAlign w:val="center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 w:val="0"/>
                <w:color w:val="17232E"/>
                <w:sz w:val="14"/>
              </w:rPr>
              <w:t>43.20%</w:t>
            </w:r>
          </w:p>
        </w:tc>
        <w:tc>
          <w:tcPr>
            <w:tcW w:type="dxa" w:w="0"/>
            <w:vAlign w:val="center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 w:val="0"/>
                <w:color w:val="17232E"/>
                <w:sz w:val="14"/>
              </w:rPr>
              <w:t>+0.80 pp</w:t>
            </w:r>
          </w:p>
        </w:tc>
        <w:tc>
          <w:tcPr>
            <w:tcW w:type="dxa" w:w="0"/>
            <w:vAlign w:val="center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 w:val="0"/>
                <w:color w:val="17232E"/>
                <w:sz w:val="14"/>
              </w:rPr>
              <w:t>-8.20 pp</w:t>
            </w:r>
          </w:p>
        </w:tc>
        <w:tc>
          <w:tcPr>
            <w:tcW w:type="dxa" w:w="0"/>
            <w:vAlign w:val="center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 w:val="0"/>
                <w:color w:val="17232E"/>
                <w:sz w:val="14"/>
              </w:rPr>
              <w:t>否</w:t>
            </w:r>
          </w:p>
        </w:tc>
      </w:tr>
      <w:tr>
        <w:tc>
          <w:tcPr>
            <w:tcW w:type="dxa" w:w="0"/>
            <w:vAlign w:val="center"/>
            <w:shd w:fill="F2F5F4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 w:val="0"/>
                <w:color w:val="17232E"/>
                <w:sz w:val="14"/>
              </w:rPr>
              <w:t>Qwen2.5-Coder-1.5B</w:t>
            </w:r>
          </w:p>
        </w:tc>
        <w:tc>
          <w:tcPr>
            <w:tcW w:type="dxa" w:w="0"/>
            <w:vAlign w:val="center"/>
            <w:shd w:fill="F2F5F4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 w:val="0"/>
                <w:color w:val="17232E"/>
                <w:sz w:val="14"/>
              </w:rPr>
              <w:t>22.20%</w:t>
            </w:r>
          </w:p>
        </w:tc>
        <w:tc>
          <w:tcPr>
            <w:tcW w:type="dxa" w:w="0"/>
            <w:vAlign w:val="center"/>
            <w:shd w:fill="F2F5F4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 w:val="0"/>
                <w:color w:val="17232E"/>
                <w:sz w:val="14"/>
              </w:rPr>
              <w:t>-2.20 pp</w:t>
            </w:r>
          </w:p>
        </w:tc>
        <w:tc>
          <w:tcPr>
            <w:tcW w:type="dxa" w:w="0"/>
            <w:vAlign w:val="center"/>
            <w:shd w:fill="F2F5F4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 w:val="0"/>
                <w:color w:val="17232E"/>
                <w:sz w:val="14"/>
              </w:rPr>
              <w:t>-27.80 pp</w:t>
            </w:r>
          </w:p>
        </w:tc>
        <w:tc>
          <w:tcPr>
            <w:tcW w:type="dxa" w:w="0"/>
            <w:vAlign w:val="center"/>
            <w:shd w:fill="F2F5F4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 w:val="0"/>
                <w:color w:val="17232E"/>
                <w:sz w:val="14"/>
              </w:rPr>
              <w:t>否</w:t>
            </w:r>
          </w:p>
        </w:tc>
      </w:tr>
    </w:tbl>
    <w:p>
      <w:pPr>
        <w:spacing w:after="40"/>
      </w:pPr>
      <w:r>
        <w:t>四个小模型的随机 20 列下降差均未达到 +10 pp。全体准确率比较受 baseline floor effect 影响，因此补充了双方 base 都正确的条件分析：随机 20 列额外失败分别为 31.88、34.48、25.98、12.23 pp，四个 95% CI 下界均大于 0。该结果支持机制假设，但属于事后分析，不能替代原预注册门槛。</w:t>
      </w:r>
    </w:p>
    <w:p>
      <w:pPr>
        <w:pStyle w:val="Heading2"/>
      </w:pPr>
      <w:r>
        <w:t>3.3 漏给条件：普通准确率高估恢复能力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6"/>
        <w:gridCol w:w="2096"/>
        <w:gridCol w:w="2096"/>
        <w:gridCol w:w="2096"/>
        <w:gridCol w:w="2096"/>
      </w:tblGrid>
      <w:tr>
        <w:tc>
          <w:tcPr>
            <w:tcW w:type="dxa" w:w="0"/>
            <w:vAlign w:val="center"/>
            <w:shd w:fill="245A6A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/>
                <w:color w:val="FFFFFF"/>
                <w:sz w:val="14"/>
              </w:rPr>
              <w:t>模型</w:t>
            </w:r>
          </w:p>
        </w:tc>
        <w:tc>
          <w:tcPr>
            <w:tcW w:type="dxa" w:w="0"/>
            <w:vAlign w:val="center"/>
            <w:shd w:fill="245A6A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/>
                <w:color w:val="FFFFFF"/>
                <w:sz w:val="14"/>
              </w:rPr>
              <w:t>桥接普通</w:t>
            </w:r>
          </w:p>
        </w:tc>
        <w:tc>
          <w:tcPr>
            <w:tcW w:type="dxa" w:w="0"/>
            <w:vAlign w:val="center"/>
            <w:shd w:fill="245A6A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/>
                <w:color w:val="FFFFFF"/>
                <w:sz w:val="14"/>
              </w:rPr>
              <w:t>桥接合规</w:t>
            </w:r>
          </w:p>
        </w:tc>
        <w:tc>
          <w:tcPr>
            <w:tcW w:type="dxa" w:w="0"/>
            <w:vAlign w:val="center"/>
            <w:shd w:fill="245A6A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/>
                <w:color w:val="FFFFFF"/>
                <w:sz w:val="14"/>
              </w:rPr>
              <w:t>外键普通</w:t>
            </w:r>
          </w:p>
        </w:tc>
        <w:tc>
          <w:tcPr>
            <w:tcW w:type="dxa" w:w="0"/>
            <w:vAlign w:val="center"/>
            <w:shd w:fill="245A6A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/>
                <w:color w:val="FFFFFF"/>
                <w:sz w:val="14"/>
              </w:rPr>
              <w:t>外键合规</w:t>
            </w:r>
          </w:p>
        </w:tc>
      </w:tr>
      <w:tr>
        <w:tc>
          <w:tcPr>
            <w:tcW w:type="dxa" w:w="0"/>
            <w:vAlign w:val="center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 w:val="0"/>
                <w:color w:val="17232E"/>
                <w:sz w:val="14"/>
              </w:rPr>
              <w:t>Qwen3-0.6B</w:t>
            </w:r>
          </w:p>
        </w:tc>
        <w:tc>
          <w:tcPr>
            <w:tcW w:type="dxa" w:w="0"/>
            <w:vAlign w:val="center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 w:val="0"/>
                <w:color w:val="17232E"/>
                <w:sz w:val="14"/>
              </w:rPr>
              <w:t>0.00%</w:t>
            </w:r>
          </w:p>
        </w:tc>
        <w:tc>
          <w:tcPr>
            <w:tcW w:type="dxa" w:w="0"/>
            <w:vAlign w:val="center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 w:val="0"/>
                <w:color w:val="17232E"/>
                <w:sz w:val="14"/>
              </w:rPr>
              <w:t>0.00%</w:t>
            </w:r>
          </w:p>
        </w:tc>
        <w:tc>
          <w:tcPr>
            <w:tcW w:type="dxa" w:w="0"/>
            <w:vAlign w:val="center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 w:val="0"/>
                <w:color w:val="17232E"/>
                <w:sz w:val="14"/>
              </w:rPr>
              <w:t>1.62%</w:t>
            </w:r>
          </w:p>
        </w:tc>
        <w:tc>
          <w:tcPr>
            <w:tcW w:type="dxa" w:w="0"/>
            <w:vAlign w:val="center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 w:val="0"/>
                <w:color w:val="17232E"/>
                <w:sz w:val="14"/>
              </w:rPr>
              <w:t>2.50%</w:t>
            </w:r>
          </w:p>
        </w:tc>
      </w:tr>
      <w:tr>
        <w:tc>
          <w:tcPr>
            <w:tcW w:type="dxa" w:w="0"/>
            <w:vAlign w:val="center"/>
            <w:shd w:fill="F2F5F4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 w:val="0"/>
                <w:color w:val="17232E"/>
                <w:sz w:val="14"/>
              </w:rPr>
              <w:t>Qwen3-1.7B</w:t>
            </w:r>
          </w:p>
        </w:tc>
        <w:tc>
          <w:tcPr>
            <w:tcW w:type="dxa" w:w="0"/>
            <w:vAlign w:val="center"/>
            <w:shd w:fill="F2F5F4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 w:val="0"/>
                <w:color w:val="17232E"/>
                <w:sz w:val="14"/>
              </w:rPr>
              <w:t>2.91%</w:t>
            </w:r>
          </w:p>
        </w:tc>
        <w:tc>
          <w:tcPr>
            <w:tcW w:type="dxa" w:w="0"/>
            <w:vAlign w:val="center"/>
            <w:shd w:fill="F2F5F4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 w:val="0"/>
                <w:color w:val="17232E"/>
                <w:sz w:val="14"/>
              </w:rPr>
              <w:t>11.11%</w:t>
            </w:r>
          </w:p>
        </w:tc>
        <w:tc>
          <w:tcPr>
            <w:tcW w:type="dxa" w:w="0"/>
            <w:vAlign w:val="center"/>
            <w:shd w:fill="F2F5F4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 w:val="0"/>
                <w:color w:val="17232E"/>
                <w:sz w:val="14"/>
              </w:rPr>
              <w:t>7.49%</w:t>
            </w:r>
          </w:p>
        </w:tc>
        <w:tc>
          <w:tcPr>
            <w:tcW w:type="dxa" w:w="0"/>
            <w:vAlign w:val="center"/>
            <w:shd w:fill="F2F5F4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 w:val="0"/>
                <w:color w:val="17232E"/>
                <w:sz w:val="14"/>
              </w:rPr>
              <w:t>3.82%</w:t>
            </w:r>
          </w:p>
        </w:tc>
      </w:tr>
      <w:tr>
        <w:tc>
          <w:tcPr>
            <w:tcW w:type="dxa" w:w="0"/>
            <w:vAlign w:val="center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 w:val="0"/>
                <w:color w:val="17232E"/>
                <w:sz w:val="14"/>
              </w:rPr>
              <w:t>Qwen3-4B</w:t>
            </w:r>
          </w:p>
        </w:tc>
        <w:tc>
          <w:tcPr>
            <w:tcW w:type="dxa" w:w="0"/>
            <w:vAlign w:val="center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 w:val="0"/>
                <w:color w:val="17232E"/>
                <w:sz w:val="14"/>
              </w:rPr>
              <w:t>2.91%</w:t>
            </w:r>
          </w:p>
        </w:tc>
        <w:tc>
          <w:tcPr>
            <w:tcW w:type="dxa" w:w="0"/>
            <w:vAlign w:val="center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 w:val="0"/>
                <w:color w:val="17232E"/>
                <w:sz w:val="14"/>
              </w:rPr>
              <w:t>5.66%</w:t>
            </w:r>
          </w:p>
        </w:tc>
        <w:tc>
          <w:tcPr>
            <w:tcW w:type="dxa" w:w="0"/>
            <w:vAlign w:val="center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 w:val="0"/>
                <w:color w:val="17232E"/>
                <w:sz w:val="14"/>
              </w:rPr>
              <w:t>20.24%</w:t>
            </w:r>
          </w:p>
        </w:tc>
        <w:tc>
          <w:tcPr>
            <w:tcW w:type="dxa" w:w="0"/>
            <w:vAlign w:val="center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 w:val="0"/>
                <w:color w:val="17232E"/>
                <w:sz w:val="14"/>
              </w:rPr>
              <w:t>2.41%</w:t>
            </w:r>
          </w:p>
        </w:tc>
      </w:tr>
      <w:tr>
        <w:tc>
          <w:tcPr>
            <w:tcW w:type="dxa" w:w="0"/>
            <w:vAlign w:val="center"/>
            <w:shd w:fill="F2F5F4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 w:val="0"/>
                <w:color w:val="17232E"/>
                <w:sz w:val="14"/>
              </w:rPr>
              <w:t>Qwen2.5-Coder-1.5B</w:t>
            </w:r>
          </w:p>
        </w:tc>
        <w:tc>
          <w:tcPr>
            <w:tcW w:type="dxa" w:w="0"/>
            <w:vAlign w:val="center"/>
            <w:shd w:fill="F2F5F4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 w:val="0"/>
                <w:color w:val="17232E"/>
                <w:sz w:val="14"/>
              </w:rPr>
              <w:t>1.94%</w:t>
            </w:r>
          </w:p>
        </w:tc>
        <w:tc>
          <w:tcPr>
            <w:tcW w:type="dxa" w:w="0"/>
            <w:vAlign w:val="center"/>
            <w:shd w:fill="F2F5F4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 w:val="0"/>
                <w:color w:val="17232E"/>
                <w:sz w:val="14"/>
              </w:rPr>
              <w:t>9.09%</w:t>
            </w:r>
          </w:p>
        </w:tc>
        <w:tc>
          <w:tcPr>
            <w:tcW w:type="dxa" w:w="0"/>
            <w:vAlign w:val="center"/>
            <w:shd w:fill="F2F5F4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 w:val="0"/>
                <w:color w:val="17232E"/>
                <w:sz w:val="14"/>
              </w:rPr>
              <w:t>10.12%</w:t>
            </w:r>
          </w:p>
        </w:tc>
        <w:tc>
          <w:tcPr>
            <w:tcW w:type="dxa" w:w="0"/>
            <w:vAlign w:val="center"/>
            <w:shd w:fill="F2F5F4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 w:val="0"/>
                <w:color w:val="17232E"/>
                <w:sz w:val="14"/>
              </w:rPr>
              <w:t>1.26%</w:t>
            </w:r>
          </w:p>
        </w:tc>
      </w:tr>
      <w:tr>
        <w:tc>
          <w:tcPr>
            <w:tcW w:type="dxa" w:w="0"/>
            <w:vAlign w:val="center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 w:val="0"/>
                <w:color w:val="17232E"/>
                <w:sz w:val="14"/>
              </w:rPr>
              <w:t>DeepSeek</w:t>
            </w:r>
          </w:p>
        </w:tc>
        <w:tc>
          <w:tcPr>
            <w:tcW w:type="dxa" w:w="0"/>
            <w:vAlign w:val="center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 w:val="0"/>
                <w:color w:val="17232E"/>
                <w:sz w:val="14"/>
              </w:rPr>
              <w:t>19.42%</w:t>
            </w:r>
          </w:p>
        </w:tc>
        <w:tc>
          <w:tcPr>
            <w:tcW w:type="dxa" w:w="0"/>
            <w:vAlign w:val="center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 w:val="0"/>
                <w:color w:val="17232E"/>
                <w:sz w:val="14"/>
              </w:rPr>
              <w:t>11.11%</w:t>
            </w:r>
          </w:p>
        </w:tc>
        <w:tc>
          <w:tcPr>
            <w:tcW w:type="dxa" w:w="0"/>
            <w:vAlign w:val="center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 w:val="0"/>
                <w:color w:val="17232E"/>
                <w:sz w:val="14"/>
              </w:rPr>
              <w:t>35.02%</w:t>
            </w:r>
          </w:p>
        </w:tc>
        <w:tc>
          <w:tcPr>
            <w:tcW w:type="dxa" w:w="0"/>
            <w:vAlign w:val="center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 w:val="0"/>
                <w:color w:val="17232E"/>
                <w:sz w:val="14"/>
              </w:rPr>
              <w:t>2.47%</w:t>
            </w:r>
          </w:p>
        </w:tc>
      </w:tr>
    </w:tbl>
    <w:p>
      <w:pPr>
        <w:spacing w:after="40"/>
      </w:pPr>
      <w:r>
        <w:t>移除桥接表后结果接近地板。移除外键列后，DeepSeek 普通准确率为 35.02%，但其 173 条正确预测中有 162 条仍读取已从 schema 移除的列；Qwen3-4B 为 92/100。严格要求预测不使用被移除对象后，四个本地模型的外键合规准确率为 1.26%–3.82%。因此普通执行优势主要来自恢复或猜中隐藏连接列。</w:t>
      </w:r>
    </w:p>
    <w:p>
      <w:r>
        <w:br w:type="page"/>
      </w:r>
    </w:p>
    <w:p>
      <w:pPr>
        <w:pStyle w:val="Heading1"/>
      </w:pPr>
      <w:r>
        <w:t>4 综合结论</w:t>
      </w:r>
    </w:p>
    <w:p>
      <w:pPr>
        <w:pStyle w:val="ListBullet"/>
        <w:spacing w:after="20"/>
      </w:pPr>
      <w:r>
        <w:t>检索门槛通过：桥接成分并集漏选率显著高于单表目标列，差值为 +28.17 pp，95% CI [20.58, 35.65]。</w:t>
      </w:r>
    </w:p>
    <w:p>
      <w:pPr>
        <w:pStyle w:val="ListBullet"/>
        <w:spacing w:after="20"/>
      </w:pPr>
      <w:r>
        <w:t>原预注册执行门槛未通过：四个小模型在随机多给 20 列时均未比 DeepSeek 多下降 10 pp。</w:t>
      </w:r>
    </w:p>
    <w:p>
      <w:pPr>
        <w:pStyle w:val="ListBullet"/>
        <w:spacing w:after="20"/>
      </w:pPr>
      <w:r>
        <w:t>Baseline-correct 与真实近义列分析支持机制假设，但这些都是事后补充，不能改写主门槛结论。</w:t>
      </w:r>
    </w:p>
    <w:p>
      <w:pPr>
        <w:pStyle w:val="ListBullet"/>
        <w:spacing w:after="20"/>
      </w:pPr>
      <w:r>
        <w:t>漏给实验完成并提供了机制证据：连接成分缺失会造成严重退化，但大模型的普通优势主要依赖读取隐藏连接列。</w:t>
      </w:r>
    </w:p>
    <w:p>
      <w:pPr>
        <w:pStyle w:val="ListBullet"/>
        <w:spacing w:after="20"/>
      </w:pPr>
      <w:r>
        <w:t>因此，BIRD 结果足以支撑 RQ1 的系统实证，但不能确认“小模型全体准确率下降比大模型多 10 pp”的原操作化假设。</w:t>
      </w:r>
    </w:p>
    <w:p>
      <w:pPr>
        <w:pStyle w:val="Heading1"/>
      </w:pPr>
      <w:r>
        <w:t>5 Spider2-Lite 回退实验的数据阻塞</w:t>
      </w:r>
    </w:p>
    <w:p>
      <w:pPr>
        <w:spacing w:after="40"/>
      </w:pPr>
      <w:r>
        <w:t>任务书计划在 Spider2-Lite SQLite 135 题上重复验证。题目、135 个表级 gold 和官方执行结果均已具备，但列级标签不完整：官方公开 24 条 Lite gold SQL；补充同题同表的 Snow gold SQL 后仅覆盖 50 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0"/>
            <w:vAlign w:val="center"/>
            <w:shd w:fill="245A6A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/>
                <w:color w:val="FFFFFF"/>
                <w:sz w:val="14"/>
              </w:rPr>
              <w:t>项目</w:t>
            </w:r>
          </w:p>
        </w:tc>
        <w:tc>
          <w:tcPr>
            <w:tcW w:type="dxa" w:w="0"/>
            <w:vAlign w:val="center"/>
            <w:shd w:fill="245A6A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/>
                <w:color w:val="FFFFFF"/>
                <w:sz w:val="14"/>
              </w:rPr>
              <w:t>数量</w:t>
            </w:r>
          </w:p>
        </w:tc>
        <w:tc>
          <w:tcPr>
            <w:tcW w:type="dxa" w:w="0"/>
            <w:vAlign w:val="center"/>
            <w:shd w:fill="245A6A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/>
                <w:color w:val="FFFFFF"/>
                <w:sz w:val="14"/>
              </w:rPr>
              <w:t>状态</w:t>
            </w:r>
          </w:p>
        </w:tc>
      </w:tr>
      <w:tr>
        <w:tc>
          <w:tcPr>
            <w:tcW w:type="dxa" w:w="0"/>
            <w:vAlign w:val="center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 w:val="0"/>
                <w:color w:val="17232E"/>
                <w:sz w:val="14"/>
              </w:rPr>
              <w:t>Spider2-Lite SQLite 题</w:t>
            </w:r>
          </w:p>
        </w:tc>
        <w:tc>
          <w:tcPr>
            <w:tcW w:type="dxa" w:w="0"/>
            <w:vAlign w:val="center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 w:val="0"/>
                <w:color w:val="17232E"/>
                <w:sz w:val="14"/>
              </w:rPr>
              <w:t>135</w:t>
            </w:r>
          </w:p>
        </w:tc>
        <w:tc>
          <w:tcPr>
            <w:tcW w:type="dxa" w:w="0"/>
            <w:vAlign w:val="center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 w:val="0"/>
                <w:color w:val="17232E"/>
                <w:sz w:val="14"/>
              </w:rPr>
              <w:t>已具备</w:t>
            </w:r>
          </w:p>
        </w:tc>
      </w:tr>
      <w:tr>
        <w:tc>
          <w:tcPr>
            <w:tcW w:type="dxa" w:w="0"/>
            <w:vAlign w:val="center"/>
            <w:shd w:fill="F2F5F4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 w:val="0"/>
                <w:color w:val="17232E"/>
                <w:sz w:val="14"/>
              </w:rPr>
              <w:t>SQLite 数据库与映射</w:t>
            </w:r>
          </w:p>
        </w:tc>
        <w:tc>
          <w:tcPr>
            <w:tcW w:type="dxa" w:w="0"/>
            <w:vAlign w:val="center"/>
            <w:shd w:fill="F2F5F4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 w:val="0"/>
                <w:color w:val="17232E"/>
                <w:sz w:val="14"/>
              </w:rPr>
              <w:t>30 个库 / 135 条映射</w:t>
            </w:r>
          </w:p>
        </w:tc>
        <w:tc>
          <w:tcPr>
            <w:tcW w:type="dxa" w:w="0"/>
            <w:vAlign w:val="center"/>
            <w:shd w:fill="F2F5F4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 w:val="0"/>
                <w:color w:val="17232E"/>
                <w:sz w:val="14"/>
              </w:rPr>
              <w:t>已具备</w:t>
            </w:r>
          </w:p>
        </w:tc>
      </w:tr>
      <w:tr>
        <w:tc>
          <w:tcPr>
            <w:tcW w:type="dxa" w:w="0"/>
            <w:vAlign w:val="center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 w:val="0"/>
                <w:color w:val="17232E"/>
                <w:sz w:val="14"/>
              </w:rPr>
              <w:t>表级 gold 与结果 CSV</w:t>
            </w:r>
          </w:p>
        </w:tc>
        <w:tc>
          <w:tcPr>
            <w:tcW w:type="dxa" w:w="0"/>
            <w:vAlign w:val="center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 w:val="0"/>
                <w:color w:val="17232E"/>
                <w:sz w:val="14"/>
              </w:rPr>
              <w:t>135</w:t>
            </w:r>
          </w:p>
        </w:tc>
        <w:tc>
          <w:tcPr>
            <w:tcW w:type="dxa" w:w="0"/>
            <w:vAlign w:val="center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 w:val="0"/>
                <w:color w:val="17232E"/>
                <w:sz w:val="14"/>
              </w:rPr>
              <w:t>已具备</w:t>
            </w:r>
          </w:p>
        </w:tc>
      </w:tr>
      <w:tr>
        <w:tc>
          <w:tcPr>
            <w:tcW w:type="dxa" w:w="0"/>
            <w:vAlign w:val="center"/>
            <w:shd w:fill="F2F5F4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 w:val="0"/>
                <w:color w:val="17232E"/>
                <w:sz w:val="14"/>
              </w:rPr>
              <w:t>Lite 原生 gold SQL</w:t>
            </w:r>
          </w:p>
        </w:tc>
        <w:tc>
          <w:tcPr>
            <w:tcW w:type="dxa" w:w="0"/>
            <w:vAlign w:val="center"/>
            <w:shd w:fill="F2F5F4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 w:val="0"/>
                <w:color w:val="17232E"/>
                <w:sz w:val="14"/>
              </w:rPr>
              <w:t>24</w:t>
            </w:r>
          </w:p>
        </w:tc>
        <w:tc>
          <w:tcPr>
            <w:tcW w:type="dxa" w:w="0"/>
            <w:vAlign w:val="center"/>
            <w:shd w:fill="F2F5F4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 w:val="0"/>
                <w:color w:val="17232E"/>
                <w:sz w:val="14"/>
              </w:rPr>
              <w:t>已公开</w:t>
            </w:r>
          </w:p>
        </w:tc>
      </w:tr>
      <w:tr>
        <w:tc>
          <w:tcPr>
            <w:tcW w:type="dxa" w:w="0"/>
            <w:vAlign w:val="center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 w:val="0"/>
                <w:color w:val="17232E"/>
                <w:sz w:val="14"/>
              </w:rPr>
              <w:t>加入同题 Snow SQL 后覆盖</w:t>
            </w:r>
          </w:p>
        </w:tc>
        <w:tc>
          <w:tcPr>
            <w:tcW w:type="dxa" w:w="0"/>
            <w:vAlign w:val="center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 w:val="0"/>
                <w:color w:val="17232E"/>
                <w:sz w:val="14"/>
              </w:rPr>
              <w:t>50</w:t>
            </w:r>
          </w:p>
        </w:tc>
        <w:tc>
          <w:tcPr>
            <w:tcW w:type="dxa" w:w="0"/>
            <w:vAlign w:val="center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 w:val="0"/>
                <w:color w:val="17232E"/>
                <w:sz w:val="14"/>
              </w:rPr>
              <w:t>可用于预实验</w:t>
            </w:r>
          </w:p>
        </w:tc>
      </w:tr>
      <w:tr>
        <w:tc>
          <w:tcPr>
            <w:tcW w:type="dxa" w:w="0"/>
            <w:vAlign w:val="center"/>
            <w:shd w:fill="F2F5F4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 w:val="0"/>
                <w:color w:val="17232E"/>
                <w:sz w:val="14"/>
              </w:rPr>
              <w:t>仍缺列级 gold SQL</w:t>
            </w:r>
          </w:p>
        </w:tc>
        <w:tc>
          <w:tcPr>
            <w:tcW w:type="dxa" w:w="0"/>
            <w:vAlign w:val="center"/>
            <w:shd w:fill="F2F5F4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 w:val="0"/>
                <w:color w:val="17232E"/>
                <w:sz w:val="14"/>
              </w:rPr>
              <w:t>85</w:t>
            </w:r>
          </w:p>
        </w:tc>
        <w:tc>
          <w:tcPr>
            <w:tcW w:type="dxa" w:w="0"/>
            <w:vAlign w:val="center"/>
            <w:shd w:fill="F2F5F4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 w:val="0"/>
                <w:color w:val="17232E"/>
                <w:sz w:val="14"/>
              </w:rPr>
              <w:t>需要决策</w:t>
            </w:r>
          </w:p>
        </w:tc>
      </w:tr>
    </w:tbl>
    <w:p>
      <w:pPr>
        <w:spacing w:after="40"/>
      </w:pPr>
      <w:r>
        <w:t>剩余 85 题包含 60 道多表题、25 道单表题和 8 道依赖外部知识文档的题。没有 gold SQL 就无法可靠恢复标准答案所需列，也无法构造与原计划等价的列级多给、漏给和桥接检索标签。</w:t>
      </w:r>
    </w:p>
    <w:p>
      <w:pPr>
        <w:pStyle w:val="Heading1"/>
      </w:pPr>
      <w:r>
        <w:t>6 导师需要确认的下一步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0"/>
            <w:vAlign w:val="center"/>
            <w:shd w:fill="245A6A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/>
                <w:color w:val="FFFFFF"/>
                <w:sz w:val="14"/>
              </w:rPr>
              <w:t>方案</w:t>
            </w:r>
          </w:p>
        </w:tc>
        <w:tc>
          <w:tcPr>
            <w:tcW w:type="dxa" w:w="0"/>
            <w:vAlign w:val="center"/>
            <w:shd w:fill="245A6A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/>
                <w:color w:val="FFFFFF"/>
                <w:sz w:val="14"/>
              </w:rPr>
              <w:t>做法</w:t>
            </w:r>
          </w:p>
        </w:tc>
        <w:tc>
          <w:tcPr>
            <w:tcW w:type="dxa" w:w="0"/>
            <w:vAlign w:val="center"/>
            <w:shd w:fill="245A6A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/>
                <w:color w:val="FFFFFF"/>
                <w:sz w:val="14"/>
              </w:rPr>
              <w:t>评价</w:t>
            </w:r>
          </w:p>
        </w:tc>
      </w:tr>
      <w:tr>
        <w:tc>
          <w:tcPr>
            <w:tcW w:type="dxa" w:w="0"/>
            <w:vAlign w:val="center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 w:val="0"/>
                <w:color w:val="17232E"/>
                <w:sz w:val="14"/>
              </w:rPr>
              <w:t>A 官方 50 题</w:t>
            </w:r>
          </w:p>
        </w:tc>
        <w:tc>
          <w:tcPr>
            <w:tcW w:type="dxa" w:w="0"/>
            <w:vAlign w:val="center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 w:val="0"/>
                <w:color w:val="17232E"/>
                <w:sz w:val="14"/>
              </w:rPr>
              <w:t>先跑五模型 base-only，再跑 20 列扰动</w:t>
            </w:r>
          </w:p>
        </w:tc>
        <w:tc>
          <w:tcPr>
            <w:tcW w:type="dxa" w:w="0"/>
            <w:vAlign w:val="center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 w:val="0"/>
                <w:color w:val="17232E"/>
                <w:sz w:val="14"/>
              </w:rPr>
              <w:t>可立即执行，但样本仅 50</w:t>
            </w:r>
          </w:p>
        </w:tc>
      </w:tr>
      <w:tr>
        <w:tc>
          <w:tcPr>
            <w:tcW w:type="dxa" w:w="0"/>
            <w:vAlign w:val="center"/>
            <w:shd w:fill="F2F5F4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 w:val="0"/>
                <w:color w:val="17232E"/>
                <w:sz w:val="14"/>
              </w:rPr>
              <w:t>B 重建 85 题</w:t>
            </w:r>
          </w:p>
        </w:tc>
        <w:tc>
          <w:tcPr>
            <w:tcW w:type="dxa" w:w="0"/>
            <w:vAlign w:val="center"/>
            <w:shd w:fill="F2F5F4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 w:val="0"/>
                <w:color w:val="17232E"/>
                <w:sz w:val="14"/>
              </w:rPr>
              <w:t>独立模型/人工写 SQL，官方结果验证，冻结列标签</w:t>
            </w:r>
          </w:p>
        </w:tc>
        <w:tc>
          <w:tcPr>
            <w:tcW w:type="dxa" w:w="0"/>
            <w:vAlign w:val="center"/>
            <w:shd w:fill="F2F5F4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 w:val="0"/>
                <w:color w:val="17232E"/>
                <w:sz w:val="14"/>
              </w:rPr>
              <w:t>可达到 135，但工作量大且非官方</w:t>
            </w:r>
          </w:p>
        </w:tc>
      </w:tr>
      <w:tr>
        <w:tc>
          <w:tcPr>
            <w:tcW w:type="dxa" w:w="0"/>
            <w:vAlign w:val="center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 w:val="0"/>
                <w:color w:val="17232E"/>
                <w:sz w:val="14"/>
              </w:rPr>
              <w:t>C 表级 135 题</w:t>
            </w:r>
          </w:p>
        </w:tc>
        <w:tc>
          <w:tcPr>
            <w:tcW w:type="dxa" w:w="0"/>
            <w:vAlign w:val="center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 w:val="0"/>
                <w:color w:val="17232E"/>
                <w:sz w:val="14"/>
              </w:rPr>
              <w:t>以 gold tables 全部列为 baseline</w:t>
            </w:r>
          </w:p>
        </w:tc>
        <w:tc>
          <w:tcPr>
            <w:tcW w:type="dxa" w:w="0"/>
            <w:vAlign w:val="center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 w:val="0"/>
                <w:color w:val="17232E"/>
                <w:sz w:val="14"/>
              </w:rPr>
              <w:t>无需缺失 SQL，但研究变量改变</w:t>
            </w:r>
          </w:p>
        </w:tc>
      </w:tr>
      <w:tr>
        <w:tc>
          <w:tcPr>
            <w:tcW w:type="dxa" w:w="0"/>
            <w:vAlign w:val="center"/>
            <w:shd w:fill="F2F5F4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 w:val="0"/>
                <w:color w:val="17232E"/>
                <w:sz w:val="14"/>
              </w:rPr>
              <w:t>D 收缩 RQ1</w:t>
            </w:r>
          </w:p>
        </w:tc>
        <w:tc>
          <w:tcPr>
            <w:tcW w:type="dxa" w:w="0"/>
            <w:vAlign w:val="center"/>
            <w:shd w:fill="F2F5F4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 w:val="0"/>
                <w:color w:val="17232E"/>
                <w:sz w:val="14"/>
              </w:rPr>
              <w:t>以 BIRD 与可用的 Spider2 结果做系统实证</w:t>
            </w:r>
          </w:p>
        </w:tc>
        <w:tc>
          <w:tcPr>
            <w:tcW w:type="dxa" w:w="0"/>
            <w:vAlign w:val="center"/>
            <w:shd w:fill="F2F5F4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 w:val="0"/>
                <w:color w:val="17232E"/>
                <w:sz w:val="14"/>
              </w:rPr>
              <w:t>符合任务书兜底，风险最低</w:t>
            </w:r>
          </w:p>
        </w:tc>
      </w:tr>
    </w:tbl>
    <w:p>
      <w:pPr>
        <w:spacing w:after="40"/>
      </w:pPr>
      <w:r>
        <w:t>建议先执行方案 A 的 base-only 预实验，同时向 Spider2 作者申请剩余 gold SQL 或 gold columns。只有在五模型共同 base-correct 达到 30 题且导师认可重建标签后，才投入剩余 85 题。不要在看到模型结果后挑选容易题。</w:t>
      </w:r>
    </w:p>
    <w:p>
      <w:pPr>
        <w:pStyle w:val="Heading1"/>
      </w:pPr>
      <w:r>
        <w:t>7 当前判定与请求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0"/>
            <w:vAlign w:val="center"/>
            <w:shd w:fill="245A6A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/>
                <w:color w:val="FFFFFF"/>
                <w:sz w:val="14"/>
              </w:rPr>
              <w:t>判定项</w:t>
            </w:r>
          </w:p>
        </w:tc>
        <w:tc>
          <w:tcPr>
            <w:tcW w:type="dxa" w:w="0"/>
            <w:vAlign w:val="center"/>
            <w:shd w:fill="245A6A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/>
                <w:color w:val="FFFFFF"/>
                <w:sz w:val="14"/>
              </w:rPr>
              <w:t>结论</w:t>
            </w:r>
          </w:p>
        </w:tc>
      </w:tr>
      <w:tr>
        <w:tc>
          <w:tcPr>
            <w:tcW w:type="dxa" w:w="0"/>
            <w:vAlign w:val="center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 w:val="0"/>
                <w:color w:val="17232E"/>
                <w:sz w:val="14"/>
              </w:rPr>
              <w:t>BIRD 验证实验执行</w:t>
            </w:r>
          </w:p>
        </w:tc>
        <w:tc>
          <w:tcPr>
            <w:tcW w:type="dxa" w:w="0"/>
            <w:vAlign w:val="center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 w:val="0"/>
                <w:color w:val="17232E"/>
                <w:sz w:val="14"/>
              </w:rPr>
              <w:t>已完成，结果可复现</w:t>
            </w:r>
          </w:p>
        </w:tc>
      </w:tr>
      <w:tr>
        <w:tc>
          <w:tcPr>
            <w:tcW w:type="dxa" w:w="0"/>
            <w:vAlign w:val="center"/>
            <w:shd w:fill="F2F5F4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 w:val="0"/>
                <w:color w:val="17232E"/>
                <w:sz w:val="14"/>
              </w:rPr>
              <w:t>检索桥接偏差</w:t>
            </w:r>
          </w:p>
        </w:tc>
        <w:tc>
          <w:tcPr>
            <w:tcW w:type="dxa" w:w="0"/>
            <w:vAlign w:val="center"/>
            <w:shd w:fill="F2F5F4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 w:val="0"/>
                <w:color w:val="17232E"/>
                <w:sz w:val="14"/>
              </w:rPr>
              <w:t>通过</w:t>
            </w:r>
          </w:p>
        </w:tc>
      </w:tr>
      <w:tr>
        <w:tc>
          <w:tcPr>
            <w:tcW w:type="dxa" w:w="0"/>
            <w:vAlign w:val="center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 w:val="0"/>
                <w:color w:val="17232E"/>
                <w:sz w:val="14"/>
              </w:rPr>
              <w:t>多给 20 列 10 pp 主门槛</w:t>
            </w:r>
          </w:p>
        </w:tc>
        <w:tc>
          <w:tcPr>
            <w:tcW w:type="dxa" w:w="0"/>
            <w:vAlign w:val="center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 w:val="0"/>
                <w:color w:val="17232E"/>
                <w:sz w:val="14"/>
              </w:rPr>
              <w:t>不通过</w:t>
            </w:r>
          </w:p>
        </w:tc>
      </w:tr>
      <w:tr>
        <w:tc>
          <w:tcPr>
            <w:tcW w:type="dxa" w:w="0"/>
            <w:vAlign w:val="center"/>
            <w:shd w:fill="F2F5F4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 w:val="0"/>
                <w:color w:val="17232E"/>
                <w:sz w:val="14"/>
              </w:rPr>
              <w:t>RQ1 系统实证价值</w:t>
            </w:r>
          </w:p>
        </w:tc>
        <w:tc>
          <w:tcPr>
            <w:tcW w:type="dxa" w:w="0"/>
            <w:vAlign w:val="center"/>
            <w:shd w:fill="F2F5F4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 w:val="0"/>
                <w:color w:val="17232E"/>
                <w:sz w:val="14"/>
              </w:rPr>
              <w:t>成立，机制证据存在</w:t>
            </w:r>
          </w:p>
        </w:tc>
      </w:tr>
      <w:tr>
        <w:tc>
          <w:tcPr>
            <w:tcW w:type="dxa" w:w="0"/>
            <w:vAlign w:val="center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 w:val="0"/>
                <w:color w:val="17232E"/>
                <w:sz w:val="14"/>
              </w:rPr>
              <w:t>Spider2-Lite 135 题列级实验</w:t>
            </w:r>
          </w:p>
        </w:tc>
        <w:tc>
          <w:tcPr>
            <w:tcW w:type="dxa" w:w="0"/>
            <w:vAlign w:val="center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 w:val="0"/>
                <w:color w:val="17232E"/>
                <w:sz w:val="14"/>
              </w:rPr>
              <w:t>受 85 条标签缺失阻塞</w:t>
            </w:r>
          </w:p>
        </w:tc>
      </w:tr>
      <w:tr>
        <w:tc>
          <w:tcPr>
            <w:tcW w:type="dxa" w:w="0"/>
            <w:vAlign w:val="center"/>
            <w:shd w:fill="F2F5F4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 w:val="0"/>
                <w:color w:val="17232E"/>
                <w:sz w:val="14"/>
              </w:rPr>
              <w:t>当前请求</w:t>
            </w:r>
          </w:p>
        </w:tc>
        <w:tc>
          <w:tcPr>
            <w:tcW w:type="dxa" w:w="0"/>
            <w:vAlign w:val="center"/>
            <w:shd w:fill="F2F5F4"/>
          </w:tcPr>
          <w:p>
            <w:pPr>
              <w:jc w:val="center"/>
            </w:pPr>
            <w:r/>
            <w:r>
              <w:rPr>
                <w:rFonts w:ascii="Heiti SC" w:hAnsi="Heiti SC" w:eastAsia="Heiti SC"/>
                <w:b w:val="0"/>
                <w:color w:val="17232E"/>
                <w:sz w:val="14"/>
              </w:rPr>
              <w:t>导师确认 A/B/C/D 中的回退方案</w:t>
            </w:r>
          </w:p>
        </w:tc>
      </w:tr>
    </w:tbl>
    <w:p>
      <w:pPr>
        <w:spacing w:after="40"/>
      </w:pPr>
      <w:r>
        <w:t>详细总报告：outputs/BIRD-Experiment/BIRD_MiniDev_Experiment_Report.pdf。全部预测、评分、脚本与审计文件位于服务器 MINIDEV/BIRD_RESULTS。</w:t>
      </w:r>
    </w:p>
    <w:p>
      <w:pPr>
        <w:pStyle w:val="Heading1"/>
      </w:pPr>
      <w:r>
        <w:t>8 事后补充（2026-10-22）</w:t>
      </w:r>
    </w:p>
    <w:p>
      <w:r>
        <w:t>纯列 20 补实验（只加列、不加表）已完成：全体准确率门槛仍不通过（四个下降差 +0.60/+4.60/+1.80/-3.80pp，CI 上界均 &lt;10pp）；baseline-correct 额外失败仍为 +32.35/+34.13/+20.51/+10.00pp。</w:t>
      </w:r>
    </w:p>
    <w:p>
      <w:r>
        <w:t>检索匹配基线：控制多表题后，桥接表内列不再更难（-13.91pp），外键/join 列仍显著更难（+13.75pp）。</w:t>
      </w:r>
    </w:p>
    <w:p>
      <w:r>
        <w:t>5 列近义断崖主要由 same_name 造成：same_name=0 时 Qwen3-4B/DeepSeek 为 59.30%/74.42%，出现 2 个以上同名干扰后降至 8–20%。</w:t>
      </w:r>
    </w:p>
    <w:p>
      <w:r>
        <w:t>详见 result/POSTHOC_REANALYSIS_2026-10-22.md。</w:t>
      </w:r>
    </w:p>
    <w:sectPr w:rsidR="00FC693F" w:rsidRPr="0006063C" w:rsidSect="00034616">
      <w:footerReference w:type="default" r:id="rId9"/>
      <w:pgSz w:w="12240" w:h="15840"/>
      <w:pgMar w:top="765" w:right="879" w:bottom="709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40"/>
    </w:pPr>
    <w:rPr>
      <w:rFonts w:ascii="Heiti SC" w:hAnsi="Heiti SC" w:eastAsia="Heiti SC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40"/>
      <w:outlineLvl w:val="0"/>
    </w:pPr>
    <w:rPr>
      <w:rFonts w:asciiTheme="majorHAnsi" w:eastAsiaTheme="majorEastAsia" w:hAnsiTheme="majorHAnsi" w:cstheme="majorBidi" w:ascii="Heiti SC" w:hAnsi="Heiti SC" w:eastAsia="Heiti SC"/>
      <w:b/>
      <w:bCs/>
      <w:color w:val="173B4D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40"/>
      <w:outlineLvl w:val="1"/>
    </w:pPr>
    <w:rPr>
      <w:rFonts w:asciiTheme="majorHAnsi" w:eastAsiaTheme="majorEastAsia" w:hAnsiTheme="majorHAnsi" w:cstheme="majorBidi" w:ascii="Heiti SC" w:hAnsi="Heiti SC" w:eastAsia="Heiti SC"/>
      <w:b/>
      <w:bCs/>
      <w:color w:val="1F6D62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" w:line="240" w:lineRule="auto" w:before="80"/>
      <w:contextualSpacing/>
    </w:pPr>
    <w:rPr>
      <w:rFonts w:asciiTheme="majorHAnsi" w:eastAsiaTheme="majorEastAsia" w:hAnsiTheme="majorHAnsi" w:cstheme="majorBidi" w:ascii="Heiti SC" w:hAnsi="Heiti SC" w:eastAsia="Heiti SC"/>
      <w:b/>
      <w:color w:val="173B4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BIRD Mini-Dev 验证性实验两页报告</dc:title>
  <dc:subject/>
  <dc:creator>DataAgentSystem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