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小模型 Schema 鲁棒性与向量检索外键偏差（两页版）</w:t>
      </w:r>
    </w:p>
    <w:p>
      <w:r>
        <w:rPr>
          <w:rFonts w:ascii="Times New Roman" w:hAnsi="Times New Roman" w:eastAsia="SimSun"/>
        </w:rPr>
        <w:t>*BIRD Mini-Dev SQLite，500 题，11 库；Qwen3-0.6B/1.7B/4B、Qwen2.5-Coder-1.5B、DeepSeek*</w:t>
      </w:r>
    </w:p>
    <w:p>
      <w:pPr>
        <w:pStyle w:val="Heading2"/>
      </w:pPr>
      <w:r>
        <w:t>结论先行</w:t>
      </w:r>
    </w:p>
    <w:p>
      <w:pPr>
        <w:pStyle w:val="ListBullet"/>
      </w:pPr>
      <w:r>
        <w:rPr>
          <w:rFonts w:ascii="Times New Roman" w:hAnsi="Times New Roman" w:eastAsia="SimSun"/>
          <w:b/>
        </w:rPr>
        <w:t>检索偏差是外键/连接列，不是桥接表</w:t>
      </w:r>
      <w:r>
        <w:rPr>
          <w:rFonts w:ascii="Times New Roman" w:hAnsi="Times New Roman" w:eastAsia="SimSun"/>
        </w:rPr>
        <w:t>：控制多表题后，外键/连接列比普通目标列 更难召回 +13.75pp（95% CI [+9.79, +17.73]），桥接表内列反而不更难（−13.91pp）。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加入 20 个真实无关列的主门槛不通过</w:t>
      </w:r>
      <w:r>
        <w:rPr>
          <w:rFonts w:ascii="Times New Roman" w:hAnsi="Times New Roman" w:eastAsia="SimSun"/>
        </w:rPr>
        <w:t>：四个小模型相对 DeepSeek 的额外下降为 0.00 到 +5.10pp，均低于预注册的 10pp。</w:t>
      </w:r>
    </w:p>
    <w:p>
      <w:pPr>
        <w:pStyle w:val="ListBullet"/>
      </w:pPr>
      <w:r>
        <w:rPr>
          <w:rFonts w:ascii="Times New Roman" w:hAnsi="Times New Roman" w:eastAsia="SimSun"/>
          <w:b/>
        </w:rPr>
        <w:t>条件效应存在</w:t>
      </w:r>
      <w:r>
        <w:rPr>
          <w:rFonts w:ascii="Times New Roman" w:hAnsi="Times New Roman" w:eastAsia="SimSun"/>
        </w:rPr>
        <w:t>：在双方基线都可解的题上，小模型保持率显著更低 （+16.5 到 +51.9pp）。</w:t>
      </w:r>
    </w:p>
    <w:p>
      <w:pPr>
        <w:pStyle w:val="Heading2"/>
      </w:pPr>
      <w:r>
        <w:t>实验设计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题数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仅 gold 表与列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多给 20 列·任意表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20 个全库真实无关列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多给 20 列·仅 gold 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20 个 gold 表内真实无关列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224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漏给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移除桥接表 / 外键列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103 / 494</w:t>
            </w:r>
          </w:p>
        </w:tc>
      </w:tr>
    </w:tbl>
    <w:p/>
    <w:p>
      <w:r>
        <w:rPr>
          <w:rFonts w:ascii="Times New Roman" w:hAnsi="Times New Roman" w:eastAsia="SimSun"/>
        </w:rPr>
        <w:t>评分用 BIRD 官方集合语义 + 30 秒超时；检索用 MiniLM 向量化，k=10，问题级配对 bootstrap。</w:t>
      </w:r>
    </w:p>
    <w:p>
      <w:pPr>
        <w:pStyle w:val="Heading2"/>
      </w:pPr>
      <w:r>
        <w:t>检索结果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28.71%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多表非桥接目标列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47.45%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41.60%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外键/连接列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57.85%</w:t>
            </w:r>
          </w:p>
        </w:tc>
      </w:tr>
    </w:tbl>
    <w:p/>
    <w:p>
      <w:r>
        <w:rPr>
          <w:rFonts w:ascii="Times New Roman" w:hAnsi="Times New Roman" w:eastAsia="SimSun"/>
        </w:rPr>
        <w:t>外键/连接列显著更难召回（+13.75pp），桥接表本身不构成额外偏差。</w:t>
      </w:r>
    </w:p>
    <w:p>
      <w:r>
        <w:rPr>
          <w:rFonts w:ascii="Times New Roman" w:hAnsi="Times New Roman" w:eastAsia="SimSun"/>
        </w:rPr>
        <w:t>![检索匹配基线](figures/fig3_retrieval_matched.png)</w:t>
      </w:r>
    </w:p>
    <w:p>
      <w:pPr>
        <w:pStyle w:val="Heading2"/>
      </w:pPr>
      <w:r>
        <w:t>执行结果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base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任意表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  <w:b/>
              </w:rPr>
              <w:t>仅gold表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68.6%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67.1%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56.7%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14.8%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12.1%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7.6%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27.6%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23.7%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15.6%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50.4%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42.5%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37.1%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26.4%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20.9%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SimSun"/>
              </w:rPr>
              <w:t>18.3%</w:t>
            </w:r>
          </w:p>
        </w:tc>
      </w:tr>
    </w:tbl>
    <w:p/>
    <w:p>
      <w:r>
        <w:rPr>
          <w:rFonts w:ascii="Times New Roman" w:hAnsi="Times New Roman" w:eastAsia="SimSun"/>
        </w:rPr>
        <w:t>相对 DeepSeek 的额外下降：任意表 +0.46/+2.09/+5.10/+3.25pp；仅 gold 表 0.00/+1.34/+0.89/−1.79pp。四模型均未达到 +10pp。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基线可解子集·额外失败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95%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+28.33pp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[+16.67, +41.67]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+29.82pp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[+21.05, +38.60]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+16.50pp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[+11.00, +22.50]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+37.50pp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[+26.92, +48.08]</w:t>
            </w:r>
          </w:p>
        </w:tc>
      </w:tr>
    </w:tbl>
    <w:p/>
    <w:p>
      <w:r>
        <w:rPr>
          <w:rFonts w:ascii="Times New Roman" w:hAnsi="Times New Roman" w:eastAsia="SimSun"/>
        </w:rPr>
        <w:t>![纯列条件](figures/fig4_pure_column.png)</w:t>
      </w:r>
    </w:p>
    <w:p>
      <w:pPr>
        <w:pStyle w:val="Heading2"/>
      </w:pPr>
      <w:r>
        <w:t>漏给结果</w:t>
      </w:r>
    </w:p>
    <w:p>
      <w:r>
        <w:rPr>
          <w:rFonts w:ascii="Times New Roman" w:hAnsi="Times New Roman" w:eastAsia="SimSun"/>
        </w:rPr>
        <w:t>移除桥接表或外键列后，严格合规准确率都很低（1.26%–11.11%）；DeepSeek 的普通执行优势 主要来自读取或猜中被隐藏的连接列。</w:t>
      </w:r>
    </w:p>
    <w:p>
      <w:pPr>
        <w:pStyle w:val="Heading2"/>
      </w:pPr>
      <w:r>
        <w:t>一句话</w:t>
      </w:r>
    </w:p>
    <w:p>
      <w:r>
        <w:rPr>
          <w:rFonts w:ascii="Times New Roman" w:hAnsi="Times New Roman" w:eastAsia="SimSun"/>
        </w:rPr>
        <w:t>原「小模型总体比大模型多下降 10pp」的假设未获支持；但检索外键偏差与「基线可解子集上的 条件效应」都稳定存在，说明研究重心应转向外键检索与条件鲁棒性，而不是无关列数量本身。</w:t>
      </w:r>
    </w:p>
    <w:p>
      <w:pPr>
        <w:pStyle w:val="Heading2"/>
      </w:pPr>
      <w:r>
        <w:t>下一步</w:t>
      </w:r>
    </w:p>
    <w:p>
      <w:r>
        <w:rPr>
          <w:rFonts w:ascii="Times New Roman" w:hAnsi="Times New Roman" w:eastAsia="SimSun"/>
        </w:rPr>
        <w:t>Spider 2.0-Lite SQLite 复验，主指标改为「基线可解子集上的保持率差」，先做功效分析； Qwen3-0.6B 是否进入确认性门槛作为独立决策。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