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小模型 Schema 鲁棒性与向量检索外键偏差</w:t>
      </w:r>
    </w:p>
    <w:p>
      <w:pPr>
        <w:pStyle w:val="Heading2"/>
      </w:pPr>
      <w:r>
        <w:t>BIRD Mini-Dev 验证性实验报告</w:t>
      </w:r>
    </w:p>
    <w:p>
      <w:r>
        <w:rPr>
          <w:rFonts w:ascii="Times New Roman" w:hAnsi="Times New Roman" w:eastAsia="SimSun"/>
        </w:rPr>
        <w:t>日期：2026-10-23 数据：BIRD Mini-Dev SQLite（500 题，11 个数据库） 模型：Qwen3-0.6B / 1.7B / 4B、Qwen2.5-Coder-1.5B、DeepSeek deepseek-chat</w:t>
      </w:r>
    </w:p>
    <w:p>
      <w:pPr>
        <w:pStyle w:val="Heading2"/>
      </w:pPr>
      <w:r>
        <w:t>摘要</w:t>
      </w:r>
    </w:p>
    <w:p>
      <w:r>
        <w:rPr>
          <w:rFonts w:ascii="Times New Roman" w:hAnsi="Times New Roman" w:eastAsia="SimSun"/>
        </w:rPr>
        <w:t>本文在 BIRD Mini-Dev 的 500 个问题上，考察本地小模型与 API 大模型在 schema 扰动下的执行鲁棒性差异，并检验向量检索是否系统性漏掉多表问题中的连接成分。结果表明：</w:t>
      </w:r>
    </w:p>
    <w:p>
      <w:pPr>
        <w:pStyle w:val="ListNumber"/>
      </w:pPr>
      <w:r>
        <w:rPr>
          <w:rFonts w:ascii="Times New Roman" w:hAnsi="Times New Roman" w:eastAsia="SimSun"/>
        </w:rPr>
        <w:t>向量检索对外键/连接列的漏选率显著高于普通目标列（+13.75pp，95% CI [+9.79, +17.73]）。</w:t>
      </w:r>
    </w:p>
    <w:p>
      <w:pPr>
        <w:pStyle w:val="ListNumber"/>
      </w:pPr>
      <w:r>
        <w:rPr>
          <w:rFonts w:ascii="Times New Roman" w:hAnsi="Times New Roman" w:eastAsia="SimSun"/>
        </w:rPr>
        <w:t>加入 20 个真实无关列后，四个小模型相对大模型的执行准确率下降均未达到预注册的 10pp 门槛，效应接近零。</w:t>
      </w:r>
    </w:p>
    <w:p>
      <w:pPr>
        <w:pStyle w:val="ListNumber"/>
      </w:pPr>
      <w:r>
        <w:rPr>
          <w:rFonts w:ascii="Times New Roman" w:hAnsi="Times New Roman" w:eastAsia="SimSun"/>
        </w:rPr>
        <w:t>在双方基线均可解的子集上，小模型的保持率显著更低（+16.5 到 +51.9pp）。</w:t>
      </w:r>
    </w:p>
    <w:p>
      <w:r>
        <w:rPr>
          <w:rFonts w:ascii="Times New Roman" w:hAnsi="Times New Roman" w:eastAsia="SimSun"/>
        </w:rPr>
        <w:t>总体而言，「小模型总体上比大模型多下降 10pp」的操作化假设未获支持；但检索外键偏差与条件效应为后续研究提供了明确方向。</w:t>
      </w:r>
    </w:p>
    <w:p>
      <w:pPr>
        <w:pStyle w:val="Heading2"/>
      </w:pPr>
      <w:r>
        <w:t>1 研究问题与假设</w:t>
      </w:r>
    </w:p>
    <w:p>
      <w:pPr>
        <w:pStyle w:val="ListBullet"/>
      </w:pPr>
      <w:r>
        <w:rPr>
          <w:rFonts w:ascii="Times New Roman" w:hAnsi="Times New Roman" w:eastAsia="SimSun"/>
        </w:rPr>
        <w:t>RQ1：加入无关列后，小模型执行准确率是否比大模型下降更多？</w:t>
      </w:r>
    </w:p>
    <w:p>
      <w:pPr>
        <w:pStyle w:val="ListBullet"/>
      </w:pPr>
      <w:r>
        <w:rPr>
          <w:rFonts w:ascii="Times New Roman" w:hAnsi="Times New Roman" w:eastAsia="SimSun"/>
        </w:rPr>
        <w:t>RQ2：向量检索是否更容易漏掉多表问题中的外键/连接列？</w:t>
      </w:r>
    </w:p>
    <w:p>
      <w:r>
        <w:rPr>
          <w:rFonts w:ascii="Times New Roman" w:hAnsi="Times New Roman" w:eastAsia="SimSun"/>
        </w:rPr>
        <w:t>预注册门槛：</w:t>
      </w:r>
    </w:p>
    <w:p>
      <w:pPr>
        <w:pStyle w:val="ListBullet"/>
      </w:pPr>
      <w:r>
        <w:rPr>
          <w:rFonts w:ascii="Times New Roman" w:hAnsi="Times New Roman" w:eastAsia="SimSun"/>
        </w:rPr>
        <w:t>H1（检索）：外键/连接列的漏选率显著高于普通目标列（配对 95% CI 下界大于 0）。</w:t>
      </w:r>
    </w:p>
    <w:p>
      <w:pPr>
        <w:pStyle w:val="ListBullet"/>
      </w:pPr>
      <w:r>
        <w:rPr>
          <w:rFonts w:ascii="Times New Roman" w:hAnsi="Times New Roman" w:eastAsia="SimSun"/>
        </w:rPr>
        <w:t>H2（执行）：小模型在加入 20 个无关列时的执行准确率下降，比大模型至少多 10 个百分点。</w:t>
      </w:r>
    </w:p>
    <w:p>
      <w:pPr>
        <w:pStyle w:val="Heading2"/>
      </w:pPr>
      <w:r>
        <w:t>2 实验设计</w:t>
      </w:r>
    </w:p>
    <w:p>
      <w:pPr>
        <w:pStyle w:val="Heading3"/>
      </w:pPr>
      <w:r>
        <w:t>2.1 数据</w:t>
      </w:r>
    </w:p>
    <w:p>
      <w:r>
        <w:rPr>
          <w:rFonts w:ascii="Times New Roman" w:hAnsi="Times New Roman" w:eastAsia="SimSun"/>
        </w:rPr>
        <w:t>BIRD Mini-Dev SQLite，500 个 question_id，11 个数据库。难度分布：simple 148、moderate 250、challenging 102。基线 schema 由 gold SQL 经 sqlglot 解析得到，仅保留 gold SQL 实际引用的表与列；500 条基线均通过 schema qualification。</w:t>
      </w:r>
    </w:p>
    <w:p>
      <w:pPr>
        <w:pStyle w:val="Heading3"/>
      </w:pPr>
      <w:r>
        <w:t>2.2 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小模型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0.6B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小模型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1.7B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小模型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4B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Qwen2.5-Coder-1.5B-Instruct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小模型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1.5B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DeepSeek deepseek-chat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大模型对照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—</w:t>
            </w:r>
          </w:p>
        </w:tc>
      </w:tr>
    </w:tbl>
    <w:p/>
    <w:p>
      <w:r>
        <w:rPr>
          <w:rFonts w:ascii="Times New Roman" w:hAnsi="Times New Roman" w:eastAsia="SimSun"/>
        </w:rPr>
        <w:t>所有模型使用相同 prompt 与最大输出长度；小模型用贪心解码，大模型 temperature=0。</w:t>
      </w:r>
    </w:p>
    <w:p>
      <w:pPr>
        <w:pStyle w:val="Heading3"/>
      </w:pPr>
      <w:r>
        <w:t>2.3 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条件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题数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base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仅 gold 表与列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多给 20 列·任意表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加入 20 个全库范围内的真实无关列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431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多给 20 列·仅 gold 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加入 20 个 gold 表内的真实无关列，不新增表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224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漏给·桥接表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从 schema 移除桥接表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103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漏给·外键列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从 schema 移除关键外键/连接列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494</w:t>
            </w:r>
          </w:p>
        </w:tc>
      </w:tr>
    </w:tbl>
    <w:p/>
    <w:p>
      <w:r>
        <w:rPr>
          <w:rFonts w:ascii="Times New Roman" w:hAnsi="Times New Roman" w:eastAsia="SimSun"/>
        </w:rPr>
        <w:t>多给条件只使用真实列，不使用合成列；候选不足 20 的题目直接排除并记录。漏给条件仅从 prompt 的 schema 移除表或列，物理数据库保持不变。</w:t>
      </w:r>
    </w:p>
    <w:p>
      <w:pPr>
        <w:pStyle w:val="Heading3"/>
      </w:pPr>
      <w:r>
        <w:t>2.4 评分</w:t>
      </w:r>
    </w:p>
    <w:p>
      <w:r>
        <w:rPr>
          <w:rFonts w:ascii="Times New Roman" w:hAnsi="Times New Roman" w:eastAsia="SimSun"/>
        </w:rPr>
        <w:t xml:space="preserve">预测 SQL 与 gold SQL 均在只读 SQLite 连接中执行，采用 BIRD 官方集合语义 </w:t>
      </w:r>
      <w:r>
        <w:rPr>
          <w:rFonts w:ascii="Courier New" w:hAnsi="Courier New"/>
          <w:sz w:val="19"/>
        </w:rPr>
        <w:t>set(predicted_rows) == set(gold_rows)</w:t>
      </w:r>
      <w:r>
        <w:rPr>
          <w:rFonts w:ascii="Times New Roman" w:hAnsi="Times New Roman" w:eastAsia="SimSun"/>
        </w:rPr>
        <w:t>，30 秒超时；执行错误按 incorrect 计。</w:t>
      </w:r>
    </w:p>
    <w:p>
      <w:pPr>
        <w:pStyle w:val="Heading3"/>
      </w:pPr>
      <w:r>
        <w:t>2.5 向量检索</w:t>
      </w:r>
    </w:p>
    <w:p>
      <w:r>
        <w:rPr>
          <w:rFonts w:ascii="Times New Roman" w:hAnsi="Times New Roman" w:eastAsia="SimSun"/>
        </w:rPr>
        <w:t>使用 sentence-transformers/all-MiniLM-L6-v2 对列做向量化，查询为 question-only，主分析 k=10。为控制题目类型混淆，引入「多表非桥接目标列」基线（多表题中既非桥接表列、也非连接列的目标列），并做问题级配对 bootstrap（10000 次）。</w:t>
      </w:r>
    </w:p>
    <w:p>
      <w:pPr>
        <w:pStyle w:val="Heading2"/>
      </w:pPr>
      <w:r>
        <w:t>3 结果</w:t>
      </w:r>
    </w:p>
    <w:p>
      <w:pPr>
        <w:pStyle w:val="Heading3"/>
      </w:pPr>
      <w:r>
        <w:t>3.1 检索（H1）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漏选率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单表目标列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28.71%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多表非桥接目标列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47.45%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桥接表内列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41.60%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外键/连接列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57.85%</w:t>
            </w:r>
          </w:p>
        </w:tc>
      </w:tr>
    </w:tbl>
    <w:p/>
    <w:p>
      <w:r>
        <w:rPr>
          <w:rFonts w:ascii="Times New Roman" w:hAnsi="Times New Roman" w:eastAsia="SimSun"/>
        </w:rPr>
        <w:t>配对差值（k=10）：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比较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差值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95% 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外键/连接列 − 多表非桥接目标列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+13.75pp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[+9.79, +17.73]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显著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桥接表内列 − 多表非桥接目标列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−13.91pp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[−24.22, −3.69]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不更难</w:t>
            </w:r>
          </w:p>
        </w:tc>
      </w:tr>
    </w:tbl>
    <w:p/>
    <w:p>
      <w:r>
        <w:rPr>
          <w:rFonts w:ascii="Times New Roman" w:hAnsi="Times New Roman" w:eastAsia="SimSun"/>
        </w:rPr>
        <w:t>H1 成立，但偏差集中在外键/连接列，而非桥接表本身。</w:t>
      </w:r>
    </w:p>
    <w:p>
      <w:pPr>
        <w:pStyle w:val="Heading3"/>
      </w:pPr>
      <w:r>
        <w:t>3.2 执行准确率（H2）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base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多给20列·任意表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多给20列·仅gold表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DeepSeek deepseek-chat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68.6%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67.1%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56.7%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14.8%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12.1%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7.6%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27.6%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23.7%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15.6%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50.4%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42.5%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37.1%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26.4%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20.9%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18.3%</w:t>
            </w:r>
          </w:p>
        </w:tc>
      </w:tr>
    </w:tbl>
    <w:p/>
    <w:p>
      <w:r>
        <w:rPr>
          <w:rFonts w:ascii="Times New Roman" w:hAnsi="Times New Roman" w:eastAsia="SimSun"/>
        </w:rPr>
        <w:t>小模型相对 DeepSeek 的额外下降：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任意表（n=431）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仅gold表（n=224）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+0.46pp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0.00pp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+2.09pp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+1.34pp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+5.10pp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+0.89pp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+3.25pp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−1.79pp</w:t>
            </w:r>
          </w:p>
        </w:tc>
      </w:tr>
    </w:tbl>
    <w:p/>
    <w:p>
      <w:r>
        <w:rPr>
          <w:rFonts w:ascii="Times New Roman" w:hAnsi="Times New Roman" w:eastAsia="SimSun"/>
        </w:rPr>
        <w:t>四个小模型在两种条件下的额外下降均低于 10pp，绝大多数接近 0。H2 不成立。</w:t>
      </w:r>
    </w:p>
    <w:p>
      <w:pPr>
        <w:pStyle w:val="Heading3"/>
      </w:pPr>
      <w:r>
        <w:t>3.3 条件效应（基线可解子集）</w:t>
      </w:r>
    </w:p>
    <w:p>
      <w:r>
        <w:rPr>
          <w:rFonts w:ascii="Times New Roman" w:hAnsi="Times New Roman" w:eastAsia="SimSun"/>
        </w:rPr>
        <w:t>在双方基线均可解的题上，统计扰动后的保持率（任意表条件）：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共同正确题数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额外失败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95% 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+28.33pp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[+16.67, +41.67]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+29.82pp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[+21.05, +38.60]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+16.50pp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[+11.00, +22.50]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104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+37.50pp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[+26.92, +48.08]</w:t>
            </w:r>
          </w:p>
        </w:tc>
      </w:tr>
    </w:tbl>
    <w:p/>
    <w:p>
      <w:r>
        <w:rPr>
          <w:rFonts w:ascii="Times New Roman" w:hAnsi="Times New Roman" w:eastAsia="SimSun"/>
        </w:rPr>
        <w:t>小模型对 schema 干扰的额外敏感集中体现在「原本会做」的题上；由于小模型基线准确率较低（地板效应），该效应没有转化为总体 10pp 的下降差。</w:t>
      </w:r>
    </w:p>
    <w:p>
      <w:pPr>
        <w:pStyle w:val="Heading3"/>
      </w:pPr>
      <w:r>
        <w:t>3.4 漏给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桥接·普通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桥接·合规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外键·普通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外键·合规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DeepSeek deepseek-chat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19.42%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11.11%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35.02%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2.47%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0.00%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0.00%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1.62%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2.50%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2.91%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11.11%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7.49%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3.82%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2.91%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5.66%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20.24%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2.41%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1.94%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9.09%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10.12%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1.26%</w:t>
            </w:r>
          </w:p>
        </w:tc>
      </w:tr>
    </w:tbl>
    <w:p/>
    <w:p>
      <w:r>
        <w:rPr>
          <w:rFonts w:ascii="Times New Roman" w:hAnsi="Times New Roman" w:eastAsia="SimSun"/>
        </w:rPr>
        <w:t>「普通」为执行准确率；「合规」为预测 SQL 不使用被移除表/列的比例。移除连接成分后，所有模型的严格合规准确率都很低，大模型的普通执行优势主要来自读取或猜中被隐藏的连接列。</w:t>
      </w:r>
    </w:p>
    <w:p>
      <w:pPr>
        <w:pStyle w:val="Heading2"/>
      </w:pPr>
      <w:r>
        <w:t>4 讨论</w:t>
      </w:r>
    </w:p>
    <w:p>
      <w:pPr>
        <w:pStyle w:val="ListBullet"/>
      </w:pPr>
      <w:r>
        <w:rPr>
          <w:rFonts w:ascii="Times New Roman" w:hAnsi="Times New Roman" w:eastAsia="SimSun"/>
        </w:rPr>
        <w:t>检索偏差集中在语义信息较弱的外键/连接列（</w:t>
      </w:r>
      <w:r>
        <w:rPr>
          <w:rFonts w:ascii="Courier New" w:hAnsi="Courier New"/>
          <w:sz w:val="19"/>
        </w:rPr>
        <w:t>id</w:t>
      </w:r>
      <w:r>
        <w:rPr>
          <w:rFonts w:ascii="Times New Roman" w:hAnsi="Times New Roman" w:eastAsia="SimSun"/>
        </w:rPr>
        <w:t>、</w:t>
      </w:r>
      <w:r>
        <w:rPr>
          <w:rFonts w:ascii="Courier New" w:hAnsi="Courier New"/>
          <w:sz w:val="19"/>
        </w:rPr>
        <w:t>*_id</w:t>
      </w:r>
      <w:r>
        <w:rPr>
          <w:rFonts w:ascii="Times New Roman" w:hAnsi="Times New Roman" w:eastAsia="SimSun"/>
        </w:rPr>
        <w:t>），与「连接键在向量空间中缺乏语义」的解释一致；桥接表名通常有辨识度，因此并不更难召回。</w:t>
      </w:r>
    </w:p>
    <w:p>
      <w:pPr>
        <w:pStyle w:val="ListBullet"/>
      </w:pPr>
      <w:r>
        <w:rPr>
          <w:rFonts w:ascii="Times New Roman" w:hAnsi="Times New Roman" w:eastAsia="SimSun"/>
        </w:rPr>
        <w:t>全体准确率门槛受地板效应影响：小模型基线准确率低，绝对下降空间有限，因此「相对大模型多下降 10pp」这一全体门槛较难满足。</w:t>
      </w:r>
    </w:p>
    <w:p>
      <w:pPr>
        <w:pStyle w:val="ListBullet"/>
      </w:pPr>
      <w:r>
        <w:rPr>
          <w:rFonts w:ascii="Times New Roman" w:hAnsi="Times New Roman" w:eastAsia="SimSun"/>
        </w:rPr>
        <w:t>条件分析显示，在基线可解的题上小模型保持率显著更低，说明小模型确实对 schema 干扰更敏感，只是这一效应被总体门槛的构造方式掩盖。</w:t>
      </w:r>
    </w:p>
    <w:p>
      <w:pPr>
        <w:pStyle w:val="ListBullet"/>
      </w:pPr>
      <w:r>
        <w:rPr>
          <w:rFonts w:ascii="Times New Roman" w:hAnsi="Times New Roman" w:eastAsia="SimSun"/>
        </w:rPr>
        <w:t>漏给结果支持「连接 schema 成分缺失会造成严重退化」，但不支持「大模型能在完全不使用缺失成分时稳定恢复」。</w:t>
      </w:r>
    </w:p>
    <w:p>
      <w:pPr>
        <w:pStyle w:val="Heading2"/>
      </w:pPr>
      <w:r>
        <w:t>5 结论</w:t>
      </w:r>
    </w:p>
    <w:p>
      <w:pPr>
        <w:pStyle w:val="ListBullet"/>
      </w:pPr>
      <w:r>
        <w:rPr>
          <w:rFonts w:ascii="Times New Roman" w:hAnsi="Times New Roman" w:eastAsia="SimSun"/>
        </w:rPr>
        <w:t>H1 成立：向量检索对外键/连接列存在稳健漏选偏差（+13.75pp）。</w:t>
      </w:r>
    </w:p>
    <w:p>
      <w:pPr>
        <w:pStyle w:val="ListBullet"/>
      </w:pPr>
      <w:r>
        <w:rPr>
          <w:rFonts w:ascii="Times New Roman" w:hAnsi="Times New Roman" w:eastAsia="SimSun"/>
        </w:rPr>
        <w:t>H2 不成立：小模型加入 20 个真实无关列后，总体执行下降未比大模型多 10pp。</w:t>
      </w:r>
    </w:p>
    <w:p>
      <w:pPr>
        <w:pStyle w:val="ListBullet"/>
      </w:pPr>
      <w:r>
        <w:rPr>
          <w:rFonts w:ascii="Times New Roman" w:hAnsi="Times New Roman" w:eastAsia="SimSun"/>
        </w:rPr>
        <w:t>条件效应存在：在基线可解的题上，小模型保持率显著更低（+16.5 到 +51.9pp）。</w:t>
      </w:r>
    </w:p>
    <w:p>
      <w:pPr>
        <w:pStyle w:val="ListBullet"/>
      </w:pPr>
      <w:r>
        <w:rPr>
          <w:rFonts w:ascii="Times New Roman" w:hAnsi="Times New Roman" w:eastAsia="SimSun"/>
        </w:rPr>
        <w:t>下一步：在 Spider 2.0-Lite SQLite 上复验，以「基线可解子集上的保持率差」为主指标，并先做功效分析。</w:t>
      </w:r>
    </w:p>
    <w:p>
      <w:pPr>
        <w:pStyle w:val="Heading2"/>
      </w:pPr>
      <w:r>
        <w:t>6 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局限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推理方差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单次贪心解码，无多种子重跑；CI 只覆盖题目间方差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外部效度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单个 Mini-Dev 数据集、单个 MiniLM 检索器、单一 DeepSeek 快照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地板效应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小模型基线准确率低，总体下降空间受限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API 可复现性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DeepSeek 温度 0 仍存在约 0.4pp 的运行间波动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