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我邦意识的展开和成立：日中两百年和气运说</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《日本诗史》对于“我邦”意识的展开，是通过“日中汉诗两百年时距”和“气运说”进行的。而这两个诗学现象的提出，显明了《日本诗史》的汉诗史观。</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所谓“日中汉诗两百年时距”，指的是日本汉诗的发展较中国诗歌要滞后两百年。对这一规律的论述出现在《日本诗史》卷四：</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“余谓明诗之行于近时，气运使之也。请详论之。</w:t>
      </w:r>
      <w:r>
        <w:rPr>
          <w:rFonts w:cs="Songti SC Regular" w:ascii="Songti SC Regular" w:hAnsi="Songti SC Regular"/>
          <w:sz w:val="38"/>
          <w:b w:val="1"/>
        </w:rPr>
        <w:t>夫诗，汉土声音也。</w:t>
      </w:r>
      <w:r>
        <w:rPr>
          <w:rFonts w:cs="Songti SC Regular" w:ascii="Songti SC Regular" w:hAnsi="Songti SC Regular"/>
          <w:sz w:val="38"/>
        </w:rP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46）</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以上这段论述中，江村北海回答了关乎汉诗史观的几个重要问题：</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一、什么是诗？</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w:t>
      </w:r>
      <w:r>
        <w:rPr>
          <w:rFonts w:cs="Songti SC Regular" w:ascii="Songti SC Regular" w:hAnsi="Songti SC Regular"/>
          <w:sz w:val="38"/>
          <w:b w:val="1"/>
        </w:rPr>
        <w:t>夫诗，汉土声音也。</w:t>
      </w:r>
      <w:r>
        <w:rPr>
          <w:rFonts w:cs="Songti SC Regular" w:ascii="Songti SC Regular" w:hAnsi="Songti SC Regular"/>
          <w:sz w:val="38"/>
        </w:rPr>
        <w:t>”北海认为，所谓诗，其源头在中国，是一种注重音韵的文体。可以看到，北海在论及诗的本质时，并没有明确汉土之诗与我邦之诗因环境不同而产生的区别。</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二、诗的发展动力和演进逻辑是什么？</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而气运是诗发展的动力所在。何为气运？据《论〈诗薮〉对〈日本诗史〉的影响》一文，北海对这一概念的运用是受到了胡应麟的启发。而细读《诗薮》原文，气运首先主导了诗歌体裁的变化，具体表现在“势”和“时”的影响中（23）；其次，气运决定了诗史的界分（59）；此外，气运影响了诗人对诗才的运用，如刘禹锡和杜牧，“才皆不下盛唐，而其诗迥别”（82）；最后，气运决定了诗的读者对经典的选择（223）。可见，在胡应麟这里，气运全面渗透到诗的发展之中。</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而这种显现的空间距离，并不仅仅存在于日本和中国之间，还存在于日本国内的各个地方之间。《日本诗史》有云：</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以余观之，清人篇咏，大抵诸家相似，其继整雅柔颇似于元季明初作家，较诸近时所谓明诗者，无剽窃雷同之病，而其气格则稍淡弱矣。当今京摄才髦所作，往往出于此途……而遐州远境，至今犹尸祝七子者。”</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此处，京都和遐州远境之间诗风迥异的原因，亦在于地理方位的距离。所以北海才说：“气运推移，有本末，有迟速。”气运在运动中会受到制约。</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三、日本汉诗和中国诗歌的关系如何？</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如前所述，日本汉诗和中国诗歌在《日本诗史》中皆称为“诗”。而日中两国之间气运变迁，使得日本汉诗在发展时较中国滞后大约二百年。</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 但实际上这一年号在唐中宗时期只存在了两个月）-宋元之际-明中世（弘治、正德、嘉靖年间）-清”的关键节点展开的（46）。</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rPr>
          <w:rFonts w:cs="Songti SC Regular" w:ascii="Songti SC Regular" w:hAnsi="Songti SC Regular"/>
          <w:sz w:val="38"/>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Songti SC Regular" w:ascii="Songti SC Regular" w:hAnsi="Songti SC Regular"/>
          <w:sz w:val="38"/>
        </w:rP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sectPr>
      <w:pgSz w:w="11900" w:h="16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Regular">
    <w:panose1 w:val="02010600040101010101"/>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Songti SC Regular" w:ascii="Songti SC Regular" w:hAnsi="Songti SC Regular"/>
        <w:sz w:val="38"/>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块引用">
    <w:name w:val="块引用"/>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标题1">
    <w:name w:val="标题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ÜBERSCHRIFT">
    <w:name w:val="ÜBERSCHRIFT"/>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代码块">
    <w:name w:val="代码块"/>
    <w:next w:val="代码块"/>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属性">
    <w:name w:val="属性"/>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标题">
    <w:name w:val="标题"/>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标题2">
    <w:name w:val="标题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居中的文本">
    <w:name w:val="居中的文本"/>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强调">
    <w:name w:val="强调"/>
    <w:rPr>
      <w:i w:val="1"/>
    </w:rPr>
  </w:style>
  <w:style w:type="character" w:styleId="代码跨距">
    <w:name w:val="代码跨距"/>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