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“释奠礼在大学寮进行。公卿参拜完毕后落座。此时由文章博士给出诗题。出题范围在《孝经》、《礼记》、《毛诗》、《尚书》、《论语》、《周易》、《左传》之内，每年选择一部。”</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然而， 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6）。</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而据《日本汉诗史》，直到镰仓幕府时期，日本僧人虎关才通过对《广韵》和《礼部韵略》的研究完成了《聚分韵略》（145）。所以可以认为，日本的音韵学研究晚熟于日本汉诗的成规模创作，也是制约早期日本汉诗发展的重要因素。</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