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2"/>
        </w:rPr>
        <w:t>而这种写法的问题在于，它只突出了中国文学、文化传统对日本输入所造成的影响。但另一方面，这种写法并没有解决作者自己提出的问题：为什么在汉语音韵、声律极难掌握的情况下，当时的日本汉诗人还是对汉诗创作抱持着“近乎迷狂”（日本汉诗发展史，98）的热情？也就是说，强调中国文学、文化传统的单方面影响，是无法回答日本汉诗生成的动力问题的。</w:t>
      </w:r>
    </w:p>
    <w:p>
      <w:pPr>
        <w:rPr>
          <w:rFonts w:cs="Songti SC Regular" w:ascii="Songti SC Regular" w:hAnsi="Songti SC Regular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2"/>
        </w:rPr>
        <w:t>为了分析这一问题，就必须回到当时汉诗创作的现场，将汉诗的功能和作用从本书对“兴观群怨”这一诗学品格的追求中还原出来。而这一现场中，存在着一组矛盾，即国家仪礼的高度发达与发轫时期日本汉诗的稚拙表现。为什么当时的国家仪礼可以包容汉诗的生成、发展，而不是将其作为有碍宫廷颜面的存在加以遏制？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2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