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 1.3.4 日本汉诗史的发展动力</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对于王朝时代日本汉诗的发展动力，作者认为，日本汉诗人对于中国诗的热情是最主要的因素；而外交场合的赋诗，更被视为关乎民族形象的行动，因此促生了日本汉诗人对诗艺的琢磨（98）。与之相对的，当本国贵族知识分子对日本汉诗的探索意欲下降之后，王朝时代的汉诗创作就开始衰退。</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6"/>
        </w:rPr>
        <w:t>然而，这一线索并不能够解释汉诗从经学中逐渐独立的趋势，也无法解释职业诗人的出现。因为单纯按照汉文知识素养的掌握程度来看，汉文知识在儒者群体中越是集中，汉诗和经学的关系就应该越紧密。但江户汉诗史所显露的趋势并不如此。</w:t>
      </w: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3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