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r>
        <w:rPr>
          <w:rFonts w:ascii="STSongti-SC-Regular" w:eastAsia="STSongti-SC-Regular" w:hAnsi="STSongti-SC-Regular" w:cs="STSongti-SC-Regular"/>
          <w:color w:val="auto"/>
          <w:sz w:val="26"/>
          <w:szCs w:val="24"/>
        </w:rPr>
        <w:t>史学理论手册，</w:t>
      </w:r>
      <w:r>
        <w:rPr>
          <w:rFonts w:ascii="Palatino-Roman" w:eastAsia="Palatino-Roman" w:hAnsi="STSongti-SC-Regular" w:cs="Palatino-Roman"/>
          <w:color w:val="auto"/>
          <w:sz w:val="26"/>
          <w:szCs w:val="24"/>
        </w:rPr>
        <w:t>475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r>
        <w:rPr>
          <w:rFonts w:ascii="Palatino-Roman" w:eastAsia="Palatino-Roman" w:hAnsi="STSongti-SC-Regular" w:cs="Palatino-Roman"/>
          <w:color w:val="auto"/>
          <w:sz w:val="26"/>
          <w:szCs w:val="24"/>
        </w:rPr>
        <w:t>478</w:t>
      </w:r>
      <w:r>
        <w:rPr>
          <w:rFonts w:ascii="STSongti-SC-Regular" w:eastAsia="STSongti-SC-Regular" w:hAnsi="STSongti-SC-Regular" w:cs="STSongti-SC-Regular"/>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r>
        <w:rPr>
          <w:rFonts w:ascii="STSongti-SC-Regular" w:eastAsia="STSongti-SC-Regular" w:hAnsi="STSongti-SC-Regular" w:cs="STSongti-SC-Regular"/>
          <w:color w:val="auto"/>
          <w:sz w:val="26"/>
          <w:szCs w:val="24"/>
        </w:rPr>
        <w:t>文化研究是一整套连锁的左翼思想及政治实践。它的核心目标是双重的</w:t>
      </w:r>
      <w:r>
        <w:rPr>
          <w:rFonts w:ascii="Palatino-Roman" w:eastAsia="Palatino-Roman" w:hAnsi="STSongti-SC-Regular" w:cs="Palatino-Roman"/>
          <w:color w:val="auto"/>
          <w:sz w:val="26"/>
          <w:szCs w:val="24"/>
        </w:rPr>
        <w:t>:(1)</w:t>
      </w:r>
      <w:r>
        <w:rPr>
          <w:rFonts w:ascii="STSongti-SC-Regular" w:eastAsia="STSongti-SC-Regular" w:hAnsi="STSongti-SC-Regular" w:cs="STSongti-SC-Regular"/>
          <w:color w:val="auto"/>
          <w:sz w:val="26"/>
          <w:szCs w:val="24"/>
        </w:rPr>
        <w:t>对权力及社会关系得以被创造、建构并通过文化来维系的那些路径</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进行详尽的情境化分析</w:t>
      </w:r>
      <w:r>
        <w:rPr>
          <w:rFonts w:ascii="Palatino-Roman" w:eastAsia="Palatino-Roman" w:hAnsi="STSongti-SC-Regular" w:cs="Palatino-Roman"/>
          <w:color w:val="auto"/>
          <w:sz w:val="26"/>
          <w:szCs w:val="24"/>
        </w:rPr>
        <w:t>;(2)</w:t>
      </w:r>
      <w:r>
        <w:rPr>
          <w:rFonts w:ascii="STSongti-SC-Regular" w:eastAsia="STSongti-SC-Regular" w:hAnsi="STSongti-SC-Regular" w:cs="STSongti-SC-Regular"/>
          <w:color w:val="auto"/>
          <w:sz w:val="26"/>
          <w:szCs w:val="24"/>
        </w:rPr>
        <w:t>在适于教育、刺激和政治介入等任务的公共论坛中传播那些分析。</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rPr>
      </w:pPr>
      <w:r>
        <w:rPr>
          <w:rFonts w:ascii="Palatino-Roman" w:eastAsia="Palatino-Roman" w:hAnsi="STSongti-SC-Regular" w:cs="Palatino-Roman"/>
          <w:color w:val="auto"/>
          <w:sz w:val="26"/>
          <w:szCs w:val="24"/>
        </w:rPr>
        <w:t>483: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相反</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文化研究认识到</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决定哪些研究问题最需要被提问并且哪些研究方法最适宜回答那些问题的特定因素</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不是</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这门学科</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无论那会是什么</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毋宁说是那个对象与其所在真实世界情境的一种结合体</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无论如何</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两者中任何一个都不可能会去更关心那些学科边界</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。换一种稍微不同的方式来说</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文化研究为了回答那个世界提出的问题</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可以去它要去的任何地方即使路径迫使它穿越不同学科造成的人为边界。有一位从</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比如</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人类学学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由此文化研究学者质问那一对象,“这与其他一切有什么关系?"”(Hal1l2007)文化研究的动力不是去发现可简化那一对象从而使之可变得容易分析一一或者以便它能被硬塞进已被一门特定学科所青睞的理论的和/或方法论的框架中一的各种方法。更确切地说,它的动力是以多种方式来审査那一对象,尽可能地接近那一对象的存在本质和它与广阔世界之间彼此决定着的那一复杂关系网络。</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485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同样,文化研究反复出现的研究问题之一是:特殊的(话语的)现实如何产生特别是文化研究频繁使用“接合”( articulation)这个概念它是一种其他方面不相干的文化现象(实践、信仰、文本,等等)藉由有意义的和看上去似乎自然的方式连接在一起的过程一来处理这个问题。</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Palatino-Roman">
    <w:altName w:val="Palatino"/>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2020-08-21T09:12:09Z</dcterms:created>
  <dcterms:modified xsi:type="dcterms:W3CDTF">2020-08-21T09:12:09Z</dcterms:modified>
</cp:coreProperties>
</file>