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3. 遵守诗律，但为了趣味，可以故意破例。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“東国之诗，音律多有未諧。”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俞樾在编辑的过程中，看到很好的句子，不忍放弃，便改写成符合格律的句子。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【俞樾所看到的日本汉诗，已经不再是怀风藻那个时代的。但是令人惊讶的是，尽管日本汉诗发展到一定程度，以中国格律诗的成熟标准来看，依旧是音律不谐的。】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