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HiraMinProN-W3" w:eastAsia="HiraMinProN-W3" w:hAnsi="HiraMinProN-W3" w:cs="HiraMinProN-W3"/>
          <w:color w:val="auto"/>
          <w:sz w:val="40"/>
          <w:szCs w:val="24"/>
        </w:rPr>
      </w:pPr>
      <w:r>
        <w:rPr>
          <w:rFonts w:ascii="HiraMinProN-W3" w:eastAsia="HiraMinProN-W3" w:hAnsi="HiraMinProN-W3" w:cs="HiraMinProN-W3"/>
          <w:color w:val="auto"/>
          <w:sz w:val="40"/>
          <w:szCs w:val="24"/>
        </w:rPr>
        <w:t>皇</w:t>
      </w:r>
      <w:r>
        <w:rPr>
          <w:rFonts w:ascii="STSongti-SC-Regular" w:eastAsia="STSongti-SC-Regular" w:hAnsi="HiraMinProN-W3" w:cs="STSongti-SC-Regular"/>
          <w:color w:val="auto"/>
          <w:sz w:val="40"/>
          <w:szCs w:val="24"/>
        </w:rPr>
        <w:t>纪</w:t>
      </w:r>
      <w:r>
        <w:rPr>
          <w:rFonts w:ascii="HiraMinProN-W3" w:eastAsia="HiraMinProN-W3" w:hAnsi="HiraMinProN-W3" w:cs="HiraMinProN-W3"/>
          <w:color w:val="auto"/>
          <w:sz w:val="40"/>
          <w:szCs w:val="24"/>
        </w:rPr>
        <w:t>二千六百年</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HiraMinProN-W3" w:eastAsia="HiraMinProN-W3" w:hAnsi="HiraMinProN-W3" w:cs="HiraMinProN-W3"/>
          <w:color w:val="auto"/>
          <w:sz w:val="40"/>
          <w:szCs w:val="24"/>
        </w:rPr>
      </w:pPr>
      <w:r>
        <w:rPr>
          <w:rFonts w:ascii="HiraMinProN-W3" w:eastAsia="HiraMinProN-W3" w:hAnsi="HiraMinProN-W3" w:cs="HiraMinProN-W3"/>
          <w:color w:val="auto"/>
          <w:sz w:val="40"/>
          <w:szCs w:val="24"/>
        </w:rPr>
        <w:t>皇学、圣教</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HiraMinProN-W3" w:eastAsia="HiraMinProN-W3" w:hAnsi="HiraMinProN-W3" w:cs="HiraMinProN-W3"/>
          <w:color w:val="auto"/>
          <w:sz w:val="40"/>
          <w:szCs w:val="24"/>
        </w:rPr>
      </w:pPr>
      <w:r>
        <w:rPr>
          <w:rFonts w:ascii="HiraMinProN-W3" w:eastAsia="HiraMinProN-W3" w:hAnsi="HiraMinProN-W3" w:cs="HiraMinProN-W3"/>
          <w:color w:val="auto"/>
          <w:sz w:val="40"/>
          <w:szCs w:val="24"/>
        </w:rPr>
        <w:t>文部省主持的夏季</w:t>
      </w:r>
      <w:r>
        <w:rPr>
          <w:rFonts w:ascii="STSongti-SC-Regular" w:eastAsia="STSongti-SC-Regular" w:hAnsi="HiraMinProN-W3" w:cs="STSongti-SC-Regular"/>
          <w:color w:val="auto"/>
          <w:sz w:val="40"/>
          <w:szCs w:val="24"/>
        </w:rPr>
        <w:t>讲习</w:t>
      </w:r>
      <w:r>
        <w:rPr>
          <w:rFonts w:ascii="HiraMinProN-W3" w:eastAsia="HiraMinProN-W3" w:hAnsi="HiraMinProN-W3" w:cs="HiraMinProN-W3"/>
          <w:color w:val="auto"/>
          <w:sz w:val="40"/>
          <w:szCs w:val="24"/>
        </w:rPr>
        <w:t>会关于日本</w:t>
      </w:r>
      <w:r>
        <w:rPr>
          <w:rFonts w:ascii="STSongti-SC-Regular" w:eastAsia="STSongti-SC-Regular" w:hAnsi="HiraMinProN-W3" w:cs="STSongti-SC-Regular"/>
          <w:color w:val="auto"/>
          <w:sz w:val="40"/>
          <w:szCs w:val="24"/>
        </w:rPr>
        <w:t>汉诗</w:t>
      </w:r>
      <w:r>
        <w:rPr>
          <w:rFonts w:ascii="HiraMinProN-W3" w:eastAsia="HiraMinProN-W3" w:hAnsi="HiraMinProN-W3" w:cs="HiraMinProN-W3"/>
          <w:color w:val="auto"/>
          <w:sz w:val="40"/>
          <w:szCs w:val="24"/>
        </w:rPr>
        <w:t>的</w:t>
      </w:r>
      <w:r>
        <w:rPr>
          <w:rFonts w:ascii="STSongti-SC-Regular" w:eastAsia="STSongti-SC-Regular" w:hAnsi="HiraMinProN-W3" w:cs="STSongti-SC-Regular"/>
          <w:color w:val="auto"/>
          <w:sz w:val="40"/>
          <w:szCs w:val="24"/>
        </w:rPr>
        <w:t>讲义题</w:t>
      </w:r>
      <w:r>
        <w:rPr>
          <w:rFonts w:ascii="HiraMinProN-W3" w:eastAsia="HiraMinProN-W3" w:hAnsi="HiraMinProN-W3" w:cs="HiraMinProN-W3"/>
          <w:color w:val="auto"/>
          <w:sz w:val="40"/>
          <w:szCs w:val="24"/>
        </w:rPr>
        <w:t>目，促成了撰写日本</w:t>
      </w:r>
      <w:r>
        <w:rPr>
          <w:rFonts w:ascii="STSongti-SC-Regular" w:eastAsia="STSongti-SC-Regular" w:hAnsi="HiraMinProN-W3" w:cs="STSongti-SC-Regular"/>
          <w:color w:val="auto"/>
          <w:sz w:val="40"/>
          <w:szCs w:val="24"/>
        </w:rPr>
        <w:t>汉诗的历</w:t>
      </w:r>
      <w:r>
        <w:rPr>
          <w:rFonts w:ascii="HiraMinProN-W3" w:eastAsia="HiraMinProN-W3" w:hAnsi="HiraMinProN-W3" w:cs="HiraMinProN-W3"/>
          <w:color w:val="auto"/>
          <w:sz w:val="40"/>
          <w:szCs w:val="24"/>
        </w:rPr>
        <w:t>史的</w:t>
      </w:r>
      <w:r>
        <w:rPr>
          <w:rFonts w:ascii="STSongti-SC-Regular" w:eastAsia="STSongti-SC-Regular" w:hAnsi="HiraMinProN-W3" w:cs="STSongti-SC-Regular"/>
          <w:color w:val="auto"/>
          <w:sz w:val="40"/>
          <w:szCs w:val="24"/>
        </w:rPr>
        <w:t>动</w:t>
      </w:r>
      <w:r>
        <w:rPr>
          <w:rFonts w:ascii="HiraMinProN-W3" w:eastAsia="HiraMinProN-W3" w:hAnsi="HiraMinProN-W3" w:cs="HiraMinProN-W3"/>
          <w:color w:val="auto"/>
          <w:sz w:val="40"/>
          <w:szCs w:val="24"/>
        </w:rPr>
        <w:t>机。</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HiraMinProN-W3" w:eastAsia="HiraMinProN-W3" w:hAnsi="HiraMinProN-W3" w:cs="HiraMinProN-W3"/>
          <w:color w:val="auto"/>
          <w:sz w:val="40"/>
          <w:szCs w:val="24"/>
        </w:rPr>
      </w:pPr>
      <w:r>
        <w:rPr>
          <w:rFonts w:ascii="HiraMinProN-W3" w:eastAsia="HiraMinProN-W3" w:hAnsi="HiraMinProN-W3" w:cs="HiraMinProN-W3"/>
          <w:color w:val="auto"/>
          <w:sz w:val="40"/>
          <w:szCs w:val="24"/>
        </w:rPr>
        <w:t>困</w:t>
      </w:r>
      <w:r>
        <w:rPr>
          <w:rFonts w:ascii="STSongti-SC-Regular" w:eastAsia="STSongti-SC-Regular" w:hAnsi="HiraMinProN-W3" w:cs="STSongti-SC-Regular"/>
          <w:color w:val="auto"/>
          <w:sz w:val="40"/>
          <w:szCs w:val="24"/>
        </w:rPr>
        <w:t>难</w:t>
      </w:r>
      <w:r>
        <w:rPr>
          <w:rFonts w:ascii="HiraMinProN-W3" w:eastAsia="HiraMinProN-W3" w:hAnsi="HiraMinProN-W3" w:cs="HiraMinProN-W3"/>
          <w:color w:val="auto"/>
          <w:sz w:val="40"/>
          <w:szCs w:val="24"/>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40"/>
          <w:szCs w:val="24"/>
        </w:rPr>
      </w:pPr>
      <w:r>
        <w:rPr>
          <w:rFonts w:ascii="HiraMinProN-W3" w:eastAsia="HiraMinProN-W3" w:hAnsi="HiraMinProN-W3" w:cs="HiraMinProN-W3"/>
          <w:color w:val="auto"/>
          <w:sz w:val="40"/>
          <w:szCs w:val="24"/>
        </w:rPr>
        <w:t>日本文学史、支那文学史的</w:t>
      </w:r>
      <w:r>
        <w:rPr>
          <w:rFonts w:ascii="STSongti-SC-Regular" w:eastAsia="STSongti-SC-Regular" w:hAnsi="HiraMinProN-W3" w:cs="STSongti-SC-Regular"/>
          <w:color w:val="auto"/>
          <w:sz w:val="40"/>
          <w:szCs w:val="24"/>
        </w:rPr>
        <w:t>书</w:t>
      </w:r>
      <w:r>
        <w:rPr>
          <w:rFonts w:ascii="HiraMinProN-W3" w:eastAsia="HiraMinProN-W3" w:hAnsi="HiraMinProN-W3" w:cs="HiraMinProN-W3"/>
          <w:color w:val="auto"/>
          <w:sz w:val="40"/>
          <w:szCs w:val="24"/>
        </w:rPr>
        <w:t>籍已</w:t>
      </w:r>
      <w:r>
        <w:rPr>
          <w:rFonts w:ascii="STSongti-SC-Regular" w:eastAsia="STSongti-SC-Regular" w:hAnsi="HiraMinProN-W3" w:cs="STSongti-SC-Regular"/>
          <w:color w:val="auto"/>
          <w:sz w:val="40"/>
          <w:szCs w:val="24"/>
        </w:rPr>
        <w:t>经</w:t>
      </w:r>
      <w:r>
        <w:rPr>
          <w:rFonts w:ascii="HiraMinProN-W3" w:eastAsia="HiraMinProN-W3" w:hAnsi="HiraMinProN-W3" w:cs="HiraMinProN-W3"/>
          <w:color w:val="auto"/>
          <w:sz w:val="40"/>
          <w:szCs w:val="24"/>
        </w:rPr>
        <w:t>有很多。但唯独没有关于日本</w:t>
      </w:r>
      <w:r>
        <w:rPr>
          <w:rFonts w:ascii="STSongti-SC-Regular" w:eastAsia="STSongti-SC-Regular" w:hAnsi="HiraMinProN-W3" w:cs="STSongti-SC-Regular"/>
          <w:color w:val="auto"/>
          <w:sz w:val="40"/>
          <w:szCs w:val="24"/>
        </w:rPr>
        <w:t>汉诗</w:t>
      </w:r>
      <w:r>
        <w:rPr>
          <w:rFonts w:ascii="HiraMinProN-W3" w:eastAsia="HiraMinProN-W3" w:hAnsi="HiraMinProN-W3" w:cs="HiraMinProN-W3"/>
          <w:color w:val="auto"/>
          <w:sz w:val="40"/>
          <w:szCs w:val="24"/>
        </w:rPr>
        <w:t>史的</w:t>
      </w:r>
      <w:r>
        <w:rPr>
          <w:rFonts w:ascii="STSongti-SC-Regular" w:eastAsia="STSongti-SC-Regular" w:hAnsi="HiraMinProN-W3" w:cs="STSongti-SC-Regular"/>
          <w:color w:val="auto"/>
          <w:sz w:val="40"/>
          <w:szCs w:val="24"/>
        </w:rPr>
        <w:t>专著。认为江村北海的《日本诗史》只能看做日本诗话。所以江村北海的这部书是不能够作为汉诗史构成、书写体裁的样板的。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40"/>
          <w:szCs w:val="24"/>
        </w:rPr>
      </w:pPr>
      <w:r>
        <w:rPr>
          <w:rFonts w:ascii="STSongti-SC-Regular" w:eastAsia="STSongti-SC-Regular" w:hAnsi="HiraMinProN-W3" w:cs="STSongti-SC-Regular"/>
          <w:color w:val="auto"/>
          <w:sz w:val="40"/>
          <w:szCs w:val="24"/>
        </w:rPr>
        <w:t>过程：进入太田中学校的文库，遍览有关日本汉诗的书籍。这本书叙述了奈良朝以前到明治时代的日本汉诗的变迁沿革。</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40"/>
          <w:szCs w:val="24"/>
        </w:rPr>
      </w:pPr>
      <w:r>
        <w:rPr>
          <w:rFonts w:ascii="STSongti-SC-Regular" w:eastAsia="STSongti-SC-Regular" w:hAnsi="HiraMinProN-W3" w:cs="STSongti-SC-Regular"/>
          <w:color w:val="auto"/>
          <w:sz w:val="40"/>
          <w:szCs w:val="24"/>
        </w:rPr>
        <w:t>东京帝国大学教授、文学博士市村瓒次郎校阅了本书。</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40"/>
          <w:szCs w:val="24"/>
        </w:rPr>
      </w:pPr>
      <w:r>
        <w:rPr>
          <w:rFonts w:ascii="STSongti-SC-Regular" w:eastAsia="STSongti-SC-Regular" w:hAnsi="HiraMinProN-W3" w:cs="STSongti-SC-Regular"/>
          <w:color w:val="auto"/>
          <w:sz w:val="40"/>
          <w:szCs w:val="24"/>
        </w:rPr>
        <w:t>在编写的过程当中，寻找藏书，阅读和汉的诗集，以诗人的传记为开始和基本，涉及诗话、作诗法、韵书等。</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40"/>
          <w:szCs w:val="24"/>
        </w:rPr>
      </w:pPr>
      <w:r>
        <w:rPr>
          <w:rFonts w:ascii="STSongti-SC-Regular" w:eastAsia="STSongti-SC-Regular" w:hAnsi="HiraMinProN-W3" w:cs="STSongti-SC-Regular"/>
          <w:color w:val="auto"/>
          <w:sz w:val="40"/>
          <w:szCs w:val="24"/>
        </w:rPr>
        <w:t>这本书原来是用文语体写的，后来在出版的时候改成了口语体。</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40"/>
          <w:szCs w:val="24"/>
        </w:rPr>
      </w:pPr>
      <w:r>
        <w:rPr>
          <w:rFonts w:ascii="STSongti-SC-Regular" w:eastAsia="STSongti-SC-Regular" w:hAnsi="HiraMinProN-W3" w:cs="STSongti-SC-Regular"/>
          <w:color w:val="auto"/>
          <w:sz w:val="40"/>
          <w:szCs w:val="24"/>
        </w:rPr>
        <w:t>在自序中感激了历代皇室的恩惠和前辈诗人的努力，希望通过这本书帮助日本精神的涵养。</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40"/>
          <w:szCs w:val="24"/>
        </w:rPr>
      </w:pPr>
      <w:r>
        <w:rPr>
          <w:rFonts w:ascii="STSongti-SC-Regular" w:eastAsia="STSongti-SC-Regular" w:hAnsi="HiraMinProN-W3" w:cs="STSongti-SC-Regular"/>
          <w:color w:val="auto"/>
          <w:sz w:val="40"/>
          <w:szCs w:val="24"/>
        </w:rPr>
        <w:t>明治三十七八年，作者在湘南的兵营当了一年的志愿兵。这本书当然也是为了尽忠君国。</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40"/>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40"/>
          <w:szCs w:val="24"/>
        </w:rPr>
      </w:pPr>
    </w:p>
    <w:p>
      <w:pPr>
        <w:spacing w:line="340" w:lineRule="atLeast"/>
        <w:rPr>
          <w:rFonts w:ascii="STSongti-SC-Regular" w:eastAsia="STSongti-SC-Regular" w:hAnsi="HiraMinProN-W3" w:cs="STSongti-SC-Regular"/>
          <w:color w:val="auto"/>
          <w:spacing w:val="0"/>
          <w:kern w:val="1"/>
          <w:sz w:val="40"/>
          <w:szCs w:val="24"/>
          <w:highlight w:val="none"/>
        </w:rPr>
      </w:pPr>
      <w:r>
        <w:rPr>
          <w:rFonts w:ascii="PingFangSC-Regular" w:eastAsia="PingFangSC-Regular" w:hAnsi="HiraMinProN-W3" w:cs="PingFangSC-Regular"/>
          <w:color w:val="000000"/>
          <w:spacing w:val="0"/>
          <w:kern w:val="0"/>
          <w:sz w:val="38"/>
          <w:szCs w:val="24"/>
          <w:highlight w:val="cyan"/>
        </w:rPr>
        <w:t xml:space="preserve">徳川光圀 </w:t>
      </w:r>
      <w:hyperlink r:id="rId4" w:history="1">
        <w:r>
          <w:rPr>
            <w:rFonts w:ascii="Times-Roman" w:eastAsia="Times-Roman" w:hAnsi="HiraMinProN-W3" w:cs="Times-Roman"/>
            <w:color w:val="0000E9"/>
            <w:spacing w:val="0"/>
            <w:kern w:val="0"/>
            <w:sz w:val="38"/>
            <w:szCs w:val="24"/>
            <w:highlight w:val="none"/>
            <w:u w:val="single" w:color="0000E9"/>
          </w:rPr>
          <w:t>http://www.ic.daito.ac.jp/~oukodou/gallery/pic-30.html</w:t>
        </w:r>
      </w:hyperlink>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注释：</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HiraMinProN-W3" w:eastAsia="HiraMinProN-W3" w:hAnsi="HiraMinProN-W3" w:cs="HiraMinProN-W3"/>
          <w:color w:val="auto"/>
          <w:spacing w:val="0"/>
          <w:kern w:val="1"/>
          <w:sz w:val="40"/>
          <w:szCs w:val="24"/>
          <w:highlight w:val="none"/>
        </w:rPr>
        <w:t>皇</w:t>
      </w:r>
      <w:r>
        <w:rPr>
          <w:rFonts w:ascii="STSongti-SC-Regular" w:eastAsia="STSongti-SC-Regular" w:hAnsi="HiraMinProN-W3" w:cs="STSongti-SC-Regular"/>
          <w:color w:val="auto"/>
          <w:spacing w:val="0"/>
          <w:kern w:val="1"/>
          <w:sz w:val="40"/>
          <w:szCs w:val="24"/>
          <w:highlight w:val="none"/>
        </w:rPr>
        <w:t>纪：神武天皇即位纪元，又称日本皇纪或简称皇纪，是日本的纪年方式之一，以日本神话中的第一代天皇神武天皇的即位元年开始起算，比现行西历早660年。即西元2020年等于皇纪2680年，以此类推。皇纪在明治时代起由官方采用，但二战后被官方弃用。</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『日本書紀』の記述に基づき、元年は西暦（キリスト紀元）前660年とされている。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明治5年农历11月15日（公历1872年12月15日）依照太政官布告第342号宣布明治6年（1873年）1月1日与公历同时在日本实行。</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yellow"/>
        </w:rPr>
        <w:t>昭和15年（1940年）是皇纪二千六百年</w:t>
      </w:r>
      <w:r>
        <w:rPr>
          <w:rFonts w:ascii="STSongti-SC-Regular" w:eastAsia="STSongti-SC-Regular" w:hAnsi="HiraMinProN-W3" w:cs="STSongti-SC-Regular"/>
          <w:color w:val="auto"/>
          <w:spacing w:val="0"/>
          <w:kern w:val="1"/>
          <w:sz w:val="40"/>
          <w:szCs w:val="24"/>
          <w:highlight w:val="none"/>
        </w:rPr>
        <w:t>，日本政府在该年举办一系列的“纪元二千六百年纪念行事”以兹庆祝。在众多系列活动中，为对世界各国宣扬日本国威，特规划于该年举行3大国际性活动，惟这些活动均因太平洋战争爆发在即而取消。</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《日本通史》，573:</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1940年11月10日，日本当局纪念二千六百年，在九州宫崎市建造了八纮一宇塔。八纮一宇后来成为建设大东亚的口号。战败后，八纮一宇四个字被涂掉，神武像被请走。</w:t>
      </w:r>
      <w:hyperlink r:id="rId5" w:history="1">
        <w:r>
          <w:rPr>
            <w:rFonts w:ascii="Times-Roman" w:eastAsia="Times-Roman" w:hAnsi="HiraMinProN-W3" w:cs="Times-Roman"/>
            <w:color w:val="0000E9"/>
            <w:spacing w:val="0"/>
            <w:kern w:val="0"/>
            <w:sz w:val="38"/>
            <w:szCs w:val="24"/>
            <w:highlight w:val="none"/>
            <w:u w:val="single" w:color="0000E9"/>
          </w:rPr>
          <w:t>https://zh.wikipedia.org/wiki/%E5%85%AB%E7%BA%AE%E4%B8%80%E5%AE%87%E5%A1%94</w:t>
        </w:r>
      </w:hyperlink>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这里的神武像指的是神武天皇。神武东征乃日本神话中，第一代天皇神武天皇自日向（今九州宫崎县）出发，向东征服大和的故事。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八纮一宇：</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八纮一宇是大日本帝国第二次世界大战时期的国家格言，日本政府宣传部门的解释是天下一家、世界大同的意思，但在当时的氛围下，实质上是服务军方的侵略扩张政策，从军备、政治体制、外交关系、意识形态等方面进行动员。受汉文化影响深厚的日本，“八纮一宇”的思想可能来自于中国传统思想“八纮同轨”。意思是天下一统，和谐祥瑞，日本军国主义显然曲解了它本来的意思。</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《晋书·武帝纪》：“廓清梁、岷、包怀扬、越，八纮同轨，祥瑞屡臻。”</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八纮一宇是由日本佛教日莲宗在家众团体国柱会的田中智学所造出来的词语，据称有“道义上的世界统一”之意义。大正2年（1915年）3月11日，国柱会机关报《国柱新闻》刊登的文章〈神武天皇的建国〉（神武天皇の建国）首次提及这一词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“八纮”一词的典故出自中国《列子·汤问》与《淮南子》，本意指八方极远之地，后来代指天下：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皇学：皇学（みものまなび）とは、古事記、日本書紀、延喜式祝詞の神典を精緻に探求することによって、日本の本来の姿と精神を明らかにする学問のこと。皇大御学（すめらおほみまなび）の略。国学（こくがく）のことと類似されるが、より専門性の高い学問のことである。純粋に日本独自の学問といえ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古事記、日本書紀、祝詞、万葉集の文献学的な歴史からすると、儒教、仏教渡来以前の日本固有の文化を研究し明らかにしようとしたものであり、漢学に対していわれる。江戸時代中期に契沖を先駆とし、荷田春満、賀茂真淵、本居宣長、平田篤胤の研究を礎とした鈴木重胤が提示して、その同輩の敷田年治等によって継承されたもの。</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神学、歌学、有職故実、国語学、国史学、国文学、地政学と幅広く、日本独自の歴史</w:t>
      </w:r>
      <w:r>
        <w:rPr>
          <w:rFonts w:ascii="HiraMinProN-W3" w:eastAsia="HiraMinProN-W3" w:hAnsi="HiraMinProN-W3" w:cs="HiraMinProN-W3"/>
          <w:color w:val="auto"/>
          <w:spacing w:val="0"/>
          <w:kern w:val="1"/>
          <w:sz w:val="40"/>
          <w:szCs w:val="24"/>
          <w:highlight w:val="none"/>
        </w:rPr>
        <w:t>・</w:t>
      </w:r>
      <w:r>
        <w:rPr>
          <w:rFonts w:ascii="STSongti-SC-Regular" w:eastAsia="STSongti-SC-Regular" w:hAnsi="HiraMinProN-W3" w:cs="STSongti-SC-Regular"/>
          <w:color w:val="auto"/>
          <w:spacing w:val="0"/>
          <w:kern w:val="1"/>
          <w:sz w:val="40"/>
          <w:szCs w:val="24"/>
          <w:highlight w:val="none"/>
        </w:rPr>
        <w:t>文化</w:t>
      </w:r>
      <w:r>
        <w:rPr>
          <w:rFonts w:ascii="HiraMinProN-W3" w:eastAsia="HiraMinProN-W3" w:hAnsi="HiraMinProN-W3" w:cs="HiraMinProN-W3"/>
          <w:color w:val="auto"/>
          <w:spacing w:val="0"/>
          <w:kern w:val="1"/>
          <w:sz w:val="40"/>
          <w:szCs w:val="24"/>
          <w:highlight w:val="none"/>
        </w:rPr>
        <w:t>・</w:t>
      </w:r>
      <w:r>
        <w:rPr>
          <w:rFonts w:ascii="STSongti-SC-Regular" w:eastAsia="STSongti-SC-Regular" w:hAnsi="HiraMinProN-W3" w:cs="STSongti-SC-Regular"/>
          <w:color w:val="auto"/>
          <w:spacing w:val="0"/>
          <w:kern w:val="1"/>
          <w:sz w:val="40"/>
          <w:szCs w:val="24"/>
          <w:highlight w:val="none"/>
        </w:rPr>
        <w:t>伝統世界を日本の古典（皇典）並びに古代史から究明する学問である。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【和汉学相对的一个概念。】</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湘南</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湘南为日本神奈川县内的一个地区，位于三浦半岛西岸，范围包括神奈川县相模湾沿岸一带。</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“湘南”来由有二：是中华的长沙国地名“湘南”，镰仓时代，由禅宗僧侣引入此名。另一说是对湘州南部地区的简称。</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湘南”范围的定义有很多，但一般都指的是二宫～叶山海岸地区。这些地区有镰仓、江之岛等观光地，在夏季吸引了众多观光客。加上电影、电视剧、歌曲常以此地为题材，给人以“海、太阳、青年”的印象，范围也有扩大的倾向。</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40"/>
          <w:szCs w:val="24"/>
          <w:highlight w:val="none"/>
        </w:rPr>
      </w:pPr>
      <w:r>
        <w:rPr>
          <w:rFonts w:ascii="STSongti-SC-Regular" w:eastAsia="STSongti-SC-Regular" w:hAnsi="HiraMinProN-W3" w:cs="STSongti-SC-Regular"/>
          <w:color w:val="auto"/>
          <w:spacing w:val="0"/>
          <w:kern w:val="1"/>
          <w:sz w:val="40"/>
          <w:szCs w:val="24"/>
          <w:highlight w:val="none"/>
        </w:rPr>
        <w:t>【文学史产生的背景……】</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iraMinProN-W3">
    <w:altName w:val="Hiragino Mincho ProN W3"/>
    <w:charset w:val="80"/>
    <w:family w:val="auto"/>
    <w:pitch w:val="default"/>
  </w:font>
  <w:font w:name="STSongti-SC-Regular">
    <w:altName w:val="Songti SC Regular"/>
    <w:charset w:val="86"/>
    <w:family w:val="auto"/>
    <w:pitch w:val="default"/>
  </w:font>
  <w:font w:name="PingFangSC-Regular">
    <w:altName w:val="PingFang SC Regular"/>
    <w:charset w:val="86"/>
    <w:family w:val="auto"/>
    <w:pitch w:val="default"/>
  </w:font>
  <w:font w:name="Times-Roman">
    <w:altName w:val="Times Roman"/>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HiraMinProN-W3"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ic.daito.ac.jp/~oukodou/gallery/pic-30.html" TargetMode="External" /><Relationship Id="rId5" Type="http://schemas.openxmlformats.org/officeDocument/2006/relationships/hyperlink" Target="https://zh.wikipedia.org/wiki/%E5%85%AB%E7%BA%AE%E4%B8%80%E5%AE%87%E5%A1%94" TargetMode="Externa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2020-08-21T09:12:01Z</dcterms:created>
  <dcterms:modified xsi:type="dcterms:W3CDTF">2020-08-21T09:12:01Z</dcterms:modified>
</cp:coreProperties>
</file>