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38"/>
          <w:szCs w:val="24"/>
        </w:rPr>
      </w:pPr>
      <w:r>
        <w:rPr>
          <w:rFonts w:ascii="Palatino-Roman" w:eastAsia="Palatino-Roman" w:hAnsi="Palatino-Roman" w:cs="Palatino-Roman"/>
          <w:color w:val="auto"/>
          <w:sz w:val="38"/>
          <w:szCs w:val="24"/>
        </w:rPr>
        <w:t>10: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8"/>
          <w:szCs w:val="24"/>
        </w:rPr>
        <w:t>奈良朝以前的诗风，以六朝和初唐诗为底本。具体来说，就是台阁之风。这一时期的汉诗人，虽然缺乏创新的精神，但是已经能够运用排偶和典故。汉诗的思想受到传入的《论语》、《毛诗》、《尚书》、《史记》、《汉书》、《庄子》、《晋书》等多方面的影响。其中，《论语》和《毛诗》中的思想最为汉诗人所熟悉，并被运用在汉诗的创作中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8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8"/>
          <w:szCs w:val="24"/>
        </w:rPr>
        <w:t>此外，这一时期的汉诗带有“和臭”。作者认为，因为其中承载着日本风格和日本人的特色，所以和臭不应该被一味排斥。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