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2"/>
          <w:szCs w:val="24"/>
        </w:rPr>
      </w:pPr>
      <w:r>
        <w:rPr>
          <w:rFonts w:ascii="Palatino-Roman" w:eastAsia="Palatino-Roman" w:hAnsi="Palatino-Roman" w:cs="Palatino-Roman"/>
          <w:color w:val="auto"/>
          <w:sz w:val="42"/>
          <w:szCs w:val="24"/>
        </w:rPr>
        <w:t>359: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新诗体冲击了汉诗的创作。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这一时期创作汉诗的人，大多是具有现代所谓跨学科视野的。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360: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女性诗人的诗作。，情绪缠绵，文辞艳丽。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360: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西方语言学的传入。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明治十一年，伊澤修二向美国人亚历山大·贝尔学习visible speech，并于明治十五年开始讹音矫正。明治二十八年，东京文科大学设立了独立的声音学科。明治三十四年，英国人edwards发表了《日本口语的声音学研究》。明治三十五年，成立了国语调查委员会。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361: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音韵学研究和日本汉诗有什么关系？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对汉诗的创作、解释和鉴赏都有影响。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