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近年、翻訳概念への省察を契機とした議論か</w:t>
      </w:r>
      <w:r>
        <w:rPr>
          <w:rFonts w:ascii="HiraMinProN-W3" w:eastAsia="HiraMinProN-W3" w:hAnsi="STSongti-SC-Regular" w:cs="HiraMinProN-W3"/>
          <w:color w:val="auto"/>
          <w:sz w:val="26"/>
          <w:szCs w:val="24"/>
        </w:rPr>
        <w:t>゙盛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んて</w:t>
      </w:r>
      <w:r>
        <w:rPr>
          <w:rFonts w:ascii="HiraMinProN-W3" w:eastAsia="HiraMinProN-W3" w:hAnsi="STSongti-SC-Regular" w:cs="HiraMinProN-W3"/>
          <w:color w:val="auto"/>
          <w:sz w:val="26"/>
          <w:szCs w:val="24"/>
        </w:rPr>
        <w:t>゙あり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、翻訳論、翻訳研究における議論も著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しい展開を見せている。翻訳実践の隆盛は言語文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化間の交流か</w:t>
      </w:r>
      <w:r>
        <w:rPr>
          <w:rFonts w:ascii="HiraMinProN-W3" w:eastAsia="HiraMinProN-W3" w:hAnsi="STSongti-SC-Regular" w:cs="HiraMinProN-W3"/>
          <w:color w:val="auto"/>
          <w:sz w:val="26"/>
          <w:szCs w:val="24"/>
        </w:rPr>
        <w:t>゙活発となった証である。他方、翻訳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の盛んな言語文化は、優位な文化の摂取受容の言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語的な作業か</w:t>
      </w:r>
      <w:r>
        <w:rPr>
          <w:rFonts w:ascii="HiraMinProN-W3" w:eastAsia="HiraMinProN-W3" w:hAnsi="STSongti-SC-Regular" w:cs="HiraMinProN-W3"/>
          <w:color w:val="auto"/>
          <w:sz w:val="26"/>
          <w:szCs w:val="24"/>
        </w:rPr>
        <w:t>゙恒常化していることを示し、国際関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係におけるその劣位と植民地的な状況を現してい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る可能性もある。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yellow"/>
        </w:rPr>
        <w:t>実際、歴史的現象としての翻訳</w:t>
      </w:r>
      <w:r>
        <w:rPr>
          <w:rFonts w:ascii="Palatino-Roman" w:eastAsia="Palatino-Roman" w:hAnsi="STSongti-SC-Regular" w:cs="Palatino-Roman"/>
          <w:color w:val="auto"/>
          <w:sz w:val="26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yellow"/>
        </w:rPr>
        <w:t>実践の多くは、二言語間の不均衡な関係の現われ</w:t>
      </w:r>
      <w:r>
        <w:rPr>
          <w:rFonts w:ascii="Palatino-Roman" w:eastAsia="Palatino-Roman" w:hAnsi="STSongti-SC-Regular" w:cs="Palatino-Roman"/>
          <w:color w:val="auto"/>
          <w:sz w:val="26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yellow"/>
        </w:rPr>
        <w:t>て</w:t>
      </w:r>
      <w:r>
        <w:rPr>
          <w:rFonts w:ascii="HiraMinProN-W3" w:eastAsia="HiraMinProN-W3" w:hAnsi="STSongti-SC-Regular" w:cs="HiraMinProN-W3"/>
          <w:color w:val="auto"/>
          <w:sz w:val="26"/>
          <w:szCs w:val="24"/>
          <w:highlight w:val="yellow"/>
        </w:rPr>
        <w:t>゙ある。</w:t>
      </w:r>
      <w:r>
        <w:rPr>
          <w:rFonts w:ascii="HiraMinProN-W3" w:eastAsia="HiraMinProN-W3" w:hAnsi="STSongti-SC-Regular" w:cs="HiraMinProN-W3"/>
          <w:color w:val="auto"/>
          <w:sz w:val="26"/>
          <w:szCs w:val="24"/>
          <w:highlight w:val="none"/>
        </w:rPr>
        <w:t>またある時代に、翻訳の需要が急増する</w:t>
      </w:r>
      <w:r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none"/>
        </w:rPr>
        <w:t>ことは、何か切迫した状況</w:t>
      </w:r>
      <w:r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  <w:t>(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none"/>
        </w:rPr>
        <w:t>欧州連合なと</w:t>
      </w:r>
      <w:r>
        <w:rPr>
          <w:rFonts w:ascii="HiraMinProN-W3" w:eastAsia="HiraMinProN-W3" w:hAnsi="STSongti-SC-Regular" w:cs="HiraMinProN-W3"/>
          <w:color w:val="auto"/>
          <w:sz w:val="26"/>
          <w:szCs w:val="24"/>
          <w:highlight w:val="none"/>
        </w:rPr>
        <w:t>゙</w:t>
      </w:r>
      <w:r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  <w:t>)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none"/>
        </w:rPr>
        <w:t>を物</w:t>
      </w:r>
      <w:r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none"/>
        </w:rPr>
        <w:t>語っている。このことは、翻訳論を説く思想家の</w:t>
      </w:r>
      <w:r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none"/>
        </w:rPr>
        <w:t>多くか</w:t>
      </w:r>
      <w:r>
        <w:rPr>
          <w:rFonts w:ascii="HiraMinProN-W3" w:eastAsia="HiraMinProN-W3" w:hAnsi="STSongti-SC-Regular" w:cs="HiraMinProN-W3"/>
          <w:color w:val="auto"/>
          <w:sz w:val="26"/>
          <w:szCs w:val="24"/>
          <w:highlight w:val="none"/>
        </w:rPr>
        <w:t>゙言語的デアスポラ的状況を生きていたこと</w:t>
      </w:r>
      <w:r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none"/>
        </w:rPr>
        <w:t>とも無関係て</w:t>
      </w:r>
      <w:r>
        <w:rPr>
          <w:rFonts w:ascii="HiraMinProN-W3" w:eastAsia="HiraMinProN-W3" w:hAnsi="STSongti-SC-Regular" w:cs="HiraMinProN-W3"/>
          <w:color w:val="auto"/>
          <w:sz w:val="26"/>
          <w:szCs w:val="24"/>
          <w:highlight w:val="none"/>
        </w:rPr>
        <w:t>゙はないだろう。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  <w:highlight w:val="none"/>
        </w:rPr>
        <w:t>作为历史性的现象的翻译实践是很多的，体现了两种语言之间的不均衡的关系。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  <w:highlight w:val="none"/>
        </w:rPr>
      </w:pPr>
    </w:p>
    <w:p>
      <w:pPr>
        <w:spacing w:after="240" w:line="280" w:lineRule="atLeast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不可避の他者「漢字」の受容と批判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  <w:t xml:space="preserve"> </w:t>
      </w:r>
    </w:p>
    <w:p>
      <w:pPr>
        <w:spacing w:after="240" w:line="280" w:lineRule="atLeast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</w:pPr>
    </w:p>
    <w:p>
      <w:pPr>
        <w:spacing w:after="240" w:line="280" w:lineRule="atLeast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</w:pP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  <w:t xml:space="preserve">1.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作为翻译实践的汉文训读</w:t>
      </w:r>
    </w:p>
    <w:p>
      <w:pPr>
        <w:spacing w:after="240" w:line="280" w:lineRule="atLeast"/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</w:pPr>
    </w:p>
    <w:p>
      <w:pPr>
        <w:spacing w:after="240" w:line="280" w:lineRule="atLeast"/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通常科学としての翻訳学の研究者か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none"/>
        </w:rPr>
        <w:t>゙、「日本」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における翻訳の歴史を辿ろうとするとやや特異な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事実に直面する。ます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none"/>
        </w:rPr>
        <w:t>゙、大和民族は、漢字伝来以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前に文字をもたなかったか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none"/>
        </w:rPr>
        <w:t>゙、漢字が伝えられるこ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とて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none"/>
        </w:rPr>
        <w:t>゙、通常の意味で中国語を学んだわけではなか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った。ローマ帝国の周辺国か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none"/>
        </w:rPr>
        <w:t>゙帝国の言語としての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none"/>
        </w:rPr>
        <w:t>ラテン語を学んて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none"/>
        </w:rPr>
        <w:t>゙いったのとは対照的である。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yellow"/>
        </w:rPr>
        <w:t>次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に、大和民族は、漢字を「外国の文字」とみなす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ことなく取り込み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>(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訓読みの発明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>)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、さらに仮名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文字を発明していった。これは他の非漢民族か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yellow"/>
        </w:rPr>
        <w:t>゙、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漢字を異民族の文字と見なし、一字一音を原則と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し、音読みのみを採用したのとは対照的て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yellow"/>
        </w:rPr>
        <w:t>゙ある。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最後に、中国大陸から膨大な漢文古典、漢訳仏典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か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yellow"/>
        </w:rPr>
        <w:t>゙もたらされたが、それらの通常の意味での翻訳</w:t>
      </w:r>
      <w:r>
        <w:rPr>
          <w:rFonts w:ascii="Times-Roman" w:eastAsia="Times-Roman" w:hAnsi="STSongti-SC-Regular" w:cs="Times-Roman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color w:val="000000"/>
          <w:spacing w:val="0"/>
          <w:kern w:val="0"/>
          <w:sz w:val="24"/>
          <w:szCs w:val="24"/>
          <w:highlight w:val="yellow"/>
        </w:rPr>
        <w:t>て</w:t>
      </w:r>
      <w:r>
        <w:rPr>
          <w:rFonts w:ascii="HiraMinProN-W3" w:eastAsia="HiraMinProN-W3" w:hAnsi="STSongti-SC-Regular" w:cs="HiraMinProN-W3"/>
          <w:color w:val="000000"/>
          <w:spacing w:val="0"/>
          <w:kern w:val="0"/>
          <w:sz w:val="24"/>
          <w:szCs w:val="24"/>
          <w:highlight w:val="yellow"/>
        </w:rPr>
        <w:t>゙はなく、</w:t>
      </w:r>
      <w:r>
        <w:rPr>
          <w:rFonts w:ascii="HiraMinProN-W6" w:eastAsia="HiraMinProN-W6" w:hAnsi="STSongti-SC-Regular" w:cs="HiraMinProN-W6"/>
          <w:b/>
          <w:color w:val="000000"/>
          <w:spacing w:val="0"/>
          <w:kern w:val="0"/>
          <w:sz w:val="24"/>
          <w:szCs w:val="24"/>
          <w:highlight w:val="yellow"/>
        </w:rPr>
        <w:t>漢文訓読という極めて特異な訳読法が</w:t>
      </w:r>
      <w:r>
        <w:rPr>
          <w:rFonts w:ascii="Times-Bold" w:eastAsia="Times-Bold" w:hAnsi="STSongti-SC-Regular" w:cs="Times-Bold"/>
          <w:b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Bold" w:eastAsia="STSongti-SC-Bold" w:hAnsi="STSongti-SC-Regular" w:cs="STSongti-SC-Bold"/>
          <w:b/>
          <w:color w:val="000000"/>
          <w:spacing w:val="0"/>
          <w:kern w:val="0"/>
          <w:sz w:val="24"/>
          <w:szCs w:val="24"/>
          <w:highlight w:val="yellow"/>
        </w:rPr>
        <w:t>考案され【是一个非常特别的译读法】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24"/>
          <w:szCs w:val="24"/>
          <w:highlight w:val="yellow"/>
        </w:rPr>
        <w:t>、千年以上にわたり受け継か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sz w:val="24"/>
          <w:szCs w:val="24"/>
          <w:highlight w:val="yellow"/>
        </w:rPr>
        <w:t>゙れていった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sz w:val="24"/>
          <w:szCs w:val="24"/>
          <w:highlight w:val="yellow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24"/>
          <w:szCs w:val="24"/>
          <w:highlight w:val="yellow"/>
        </w:rPr>
        <w:t>ことて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sz w:val="24"/>
          <w:szCs w:val="24"/>
          <w:highlight w:val="yellow"/>
        </w:rPr>
        <w:t>゙ある。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sz w:val="24"/>
          <w:szCs w:val="24"/>
          <w:highlight w:val="none"/>
        </w:rPr>
        <w:t>このことも 、通常の翻訳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sz w:val="24"/>
          <w:szCs w:val="24"/>
          <w:highlight w:val="none"/>
        </w:rPr>
        <w:t>(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24"/>
          <w:szCs w:val="24"/>
          <w:highlight w:val="none"/>
        </w:rPr>
        <w:t>ラテン語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24"/>
          <w:szCs w:val="24"/>
          <w:highlight w:val="none"/>
        </w:rPr>
        <w:t>からハ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sz w:val="24"/>
          <w:szCs w:val="24"/>
          <w:highlight w:val="none"/>
        </w:rPr>
        <w:t>゙ナキュラーへ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sz w:val="24"/>
          <w:szCs w:val="24"/>
          <w:highlight w:val="none"/>
        </w:rPr>
        <w:t>)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24"/>
          <w:szCs w:val="24"/>
          <w:highlight w:val="none"/>
        </w:rPr>
        <w:t>において文法と修辞学とい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sz w:val="24"/>
          <w:szCs w:val="24"/>
          <w:highlight w:val="none"/>
        </w:rPr>
        <w:t>う二つのテ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sz w:val="24"/>
          <w:szCs w:val="24"/>
          <w:highlight w:val="none"/>
        </w:rPr>
        <w:t>゙ィシプリンが必要とされた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sz w:val="24"/>
          <w:szCs w:val="24"/>
          <w:highlight w:val="none"/>
        </w:rPr>
        <w:t xml:space="preserve"> 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13"/>
          <w:sz w:val="24"/>
          <w:szCs w:val="24"/>
          <w:highlight w:val="none"/>
        </w:rPr>
        <w:t xml:space="preserve">8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のとは対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照的て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゙ある。漢文訓読の発達は日本語の書き言葉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の創造のフ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゚ロセスそのものであり、仮名文字に加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えて、和文に漢字を加えた文体としての和漢混淆文、現代の漢字仮名交し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゙り文にいたるまで、日本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語の書き言葉、そして話し言葉成立の基盤となっていった。この特徴からは、日本語は古代漢語と大和言葉とのクレオール語として発達したとみることもて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゙きる。</w:t>
      </w:r>
    </w:p>
    <w:p>
      <w:pPr>
        <w:spacing w:after="240" w:line="280" w:lineRule="atLeast"/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</w:p>
    <w:p>
      <w:pPr>
        <w:spacing w:after="240" w:line="280" w:lineRule="atLeast"/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在通常的翻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译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中，必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须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要有文法和修辞学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这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两种discipline。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汉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文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训读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的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发达是日本语的书写语言的创造的过程，加上假名文字，和文与汉字混合而成的文体和漢混淆构文；现代的汉字假名混在一起的文字，构成了日本语的书写文字，然后成为了日本口语的成立的基础。从这个特征看，日本语是古代汉语和大和语言的克里奥尔化的结果。</w:t>
      </w:r>
    </w:p>
    <w:p>
      <w:pPr>
        <w:spacing w:after="240" w:line="280" w:lineRule="atLeast"/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日本の漢文訓読の歴史については、国語史や音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韻史なと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゙で、既に膨大な研究の蓄積があるが、訓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読を思想史の課題として読み解く中村春作は、訓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読法の中身と変遷を検証していくと、それか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゙単に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技法のレヘ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゙ルに止まるものではなく、すぐれて思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想史の問題て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゙あり、そこには日本における異文化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理解のありようか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゙端的に表れていると指摘してい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る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13"/>
          <w:sz w:val="24"/>
          <w:szCs w:val="24"/>
          <w:highlight w:val="none"/>
        </w:rPr>
        <w:t xml:space="preserve">1 </w:t>
      </w: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平安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・鎌倉時代の漢籍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は、約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200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点か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゙現存しているという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13"/>
          <w:sz w:val="24"/>
          <w:szCs w:val="24"/>
          <w:highlight w:val="none"/>
        </w:rPr>
        <w:t>13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。加点資料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゙現われる以前の時代、漢文直読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(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音読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)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と訓読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゙併用されるような時代では、訓点を記すことな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く漢文か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゙読まれ、その場合、訓読の方法は師匠か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ら弟子へ口伝され、暗唱されたと想像される。訓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点の位置、読み方は、学者の流派や家によって異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なり、江戸時代初期にいたるまて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゙秘伝であった。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つまり、漢文訓読法か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゙博士家や流派の内部で秘匿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すへ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゙きものとされている間は、そこに標準化は起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こらす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゙各流派の中で創意工夫されるに留まった。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在现在的加点资料的以前的时代，音读和训读并用的时代（为什么音读不再是流行了？）力，在阅读没有训点标记的汉文时，通过师傅向弟子口传，然后通过记忆来获得的。训点的位置、阅读方法，根据学者的流派和家传的不同，一直到江户时代初期都是秘传。也就是说，汉文训读法是博士家和流派内部的秘密，在没有标准化的前提下，保留了各个流派解读汉文的创意和工夫。</w:t>
      </w: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漢文訓読は一つのリテラシーて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゙あるが、それが特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定階層の言語資本として限定されると、訓読か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゙も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つ意味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(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それか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゙翻訳実践であること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)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についての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批判的省察は生し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゙にくいものと推察される。これ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は、日本て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゙翻訳論らしきものが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18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世紀にいたるま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゙現われなかったことに示されている。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2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，对汉文训读的省察</w:t>
      </w: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子安宣邦は、漢字漢文という中国語エクリチュールは日本にとって圧倒的に優越する文化的所与て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゙あり、漢文訓読とは「優越する書記言語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(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漢文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)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を前提に、そこから意味の転移によって新た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br/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な書記言語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(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和文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)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を構成していく作業」た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゙と捉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える。しかし、ここて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゙「訓読者には己の訓読作業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゙優越する他言語</w:t>
      </w:r>
      <w:r>
        <w:rPr>
          <w:rFonts w:ascii="HiraMinProN-W6" w:eastAsia="HiraMinProN-W6" w:hAnsi="STSongti-SC-Regular" w:cs="HiraMinProN-W6"/>
          <w:b/>
          <w:color w:val="000000"/>
          <w:spacing w:val="0"/>
          <w:kern w:val="0"/>
          <w:position w:val="0"/>
          <w:sz w:val="24"/>
          <w:szCs w:val="24"/>
          <w:highlight w:val="yellow"/>
        </w:rPr>
        <w:t>テクスト【テキスト】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から受容的に新たな自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言語テクストを作り出すことて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゙あるとは意識され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ない。訓読者はみす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゙からする訓読をただ漢文を和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文風に読むこととしてのみ意識」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13"/>
          <w:sz w:val="24"/>
          <w:szCs w:val="24"/>
          <w:highlight w:val="none"/>
        </w:rPr>
        <w:t>14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している。つまり、漢文訓読は、漢文脈に対応する和文脈か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たかも平衡的に存在するという錯覚を抱きなか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゙ら、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は、林羅山の僧名道春に由来し、林羅山か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゙訓点を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他言語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(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漢文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)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に受容的に対応しなか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゙ら固有の自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言語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(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和文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)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を見出していくという言語行為なの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゙ある。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子安はこれを「漢文訓読のイテ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゙オロギ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ー」と呼んて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゙いる。漢字漢文は、訓読者にとって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その異質性か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゙限りなくゼロに近い不可避の他者と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してあったというわけて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゙ある。このイデオロギー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に相対的に無自覚て</w:t>
      </w:r>
      <w:r>
        <w:rPr>
          <w:rFonts w:ascii="HiraMinProN-W3" w:eastAsia="HiraMinProN-W3" w:hAnsi="STSongti-SC-Regular" w:cs="HiraMinProN-W3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゙ある間は、翻訳に対するメタ</w:t>
      </w:r>
      <w:r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 xml:space="preserve"> </w:t>
      </w:r>
      <w:r>
        <w:rPr>
          <w:rFonts w:ascii="STSongti-SC-Regular" w:eastAsia="STSongti-SC-Regular" w:hAnsi="STSongti-SC-Regular" w:cs="STSongti-SC-Regular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  <w:t>的な省察は現われにくいと考えられる。</w:t>
      </w:r>
    </w:p>
    <w:p>
      <w:pPr>
        <w:spacing w:after="240" w:line="280" w:lineRule="atLeast"/>
        <w:rPr>
          <w:rFonts w:ascii="Times-Roman" w:eastAsia="Times-Roman" w:hAnsi="STSongti-SC-Regular" w:cs="Times-Roman"/>
          <w:b w:val="0"/>
          <w:color w:val="000000"/>
          <w:spacing w:val="0"/>
          <w:kern w:val="0"/>
          <w:position w:val="0"/>
          <w:sz w:val="24"/>
          <w:szCs w:val="24"/>
          <w:highlight w:val="none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HiraMinProN-W3">
    <w:altName w:val="Hiragino Mincho ProN W3"/>
    <w:charset w:val="80"/>
    <w:family w:val="auto"/>
    <w:pitch w:val="default"/>
  </w:font>
  <w:font w:name="Palatino-Roman">
    <w:altName w:val="Palatino"/>
    <w:charset w:val="00"/>
    <w:family w:val="roman"/>
    <w:pitch w:val="default"/>
  </w:font>
  <w:font w:name="Times-Roman">
    <w:altName w:val="Times Roman"/>
    <w:charset w:val="00"/>
    <w:family w:val="roman"/>
    <w:pitch w:val="default"/>
  </w:font>
  <w:font w:name="HiraMinProN-W6">
    <w:altName w:val="Hiragino Mincho ProN W6"/>
    <w:charset w:val="80"/>
    <w:family w:val="auto"/>
    <w:pitch w:val="default"/>
  </w:font>
  <w:font w:name="Times-Bold">
    <w:altName w:val="Times Bold"/>
    <w:charset w:val="00"/>
    <w:family w:val="roman"/>
    <w:pitch w:val="default"/>
  </w:font>
  <w:font w:name="STSongti-SC-Bold">
    <w:altName w:val="Songti SC Bold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