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HiraMinProN-W3" w:eastAsia="HiraMinProN-W3" w:hAnsi="HiraMinProN-W3" w:cs="HiraMinProN-W3"/>
          <w:color w:val="auto"/>
          <w:sz w:val="26"/>
          <w:szCs w:val="24"/>
        </w:rPr>
        <w:t>作</w:t>
      </w:r>
      <w:r>
        <w:rPr>
          <w:rFonts w:ascii="STSongti-SC-Regular" w:eastAsia="STSongti-SC-Regular" w:hAnsi="HiraMinProN-W3" w:cs="STSongti-SC-Regular"/>
          <w:color w:val="auto"/>
          <w:sz w:val="26"/>
          <w:szCs w:val="24"/>
        </w:rPr>
        <w:t>为一门课程</w:t>
      </w:r>
      <w:r>
        <w:rPr>
          <w:rFonts w:ascii="HiraMinProN-W3" w:eastAsia="HiraMinProN-W3" w:hAnsi="HiraMinProN-W3" w:cs="HiraMinProN-W3"/>
          <w:color w:val="auto"/>
          <w:sz w:val="26"/>
          <w:szCs w:val="24"/>
        </w:rPr>
        <w:t>的中国文学史，既是</w:t>
      </w:r>
      <w:r>
        <w:rPr>
          <w:rFonts w:ascii="STSongti-SC-Regular" w:eastAsia="STSongti-SC-Regular" w:hAnsi="HiraMinProN-W3" w:cs="STSongti-SC-Regular"/>
          <w:color w:val="auto"/>
          <w:sz w:val="26"/>
          <w:szCs w:val="24"/>
        </w:rPr>
        <w:t>对</w:t>
      </w:r>
      <w:r>
        <w:rPr>
          <w:rFonts w:ascii="HiraMinProN-W3" w:eastAsia="HiraMinProN-W3" w:hAnsi="HiraMinProN-W3" w:cs="HiraMinProN-W3"/>
          <w:color w:val="auto"/>
          <w:sz w:val="26"/>
          <w:szCs w:val="24"/>
        </w:rPr>
        <w:t>欧美和日本学制的模仿，也是塑造中国民族形象、</w:t>
      </w:r>
      <w:r>
        <w:rPr>
          <w:rFonts w:ascii="STSongti-SC-Regular" w:eastAsia="STSongti-SC-Regular" w:hAnsi="HiraMinProN-W3" w:cs="STSongti-SC-Regular"/>
          <w:color w:val="auto"/>
          <w:sz w:val="26"/>
          <w:szCs w:val="24"/>
        </w:rPr>
        <w:t>构</w:t>
      </w:r>
      <w:r>
        <w:rPr>
          <w:rFonts w:ascii="HiraMinProN-W3" w:eastAsia="HiraMinProN-W3" w:hAnsi="HiraMinProN-W3" w:cs="HiraMinProN-W3"/>
          <w:color w:val="auto"/>
          <w:sz w:val="26"/>
          <w:szCs w:val="24"/>
        </w:rPr>
        <w:t>造民族精神的重要工具。在</w:t>
      </w:r>
      <w:r>
        <w:rPr>
          <w:rFonts w:ascii="STSongti-SC-Regular" w:eastAsia="STSongti-SC-Regular" w:hAnsi="HiraMinProN-W3" w:cs="STSongti-SC-Regular"/>
          <w:color w:val="auto"/>
          <w:sz w:val="26"/>
          <w:szCs w:val="24"/>
        </w:rPr>
        <w:t>课</w:t>
      </w:r>
      <w:r>
        <w:rPr>
          <w:rFonts w:ascii="HiraMinProN-W3" w:eastAsia="HiraMinProN-W3" w:hAnsi="HiraMinProN-W3" w:cs="HiraMinProN-W3"/>
          <w:color w:val="auto"/>
          <w:sz w:val="26"/>
          <w:szCs w:val="24"/>
        </w:rPr>
        <w:t>程成立之后，中国文学史</w:t>
      </w:r>
      <w:r>
        <w:rPr>
          <w:rFonts w:ascii="STSongti-SC-Regular" w:eastAsia="STSongti-SC-Regular" w:hAnsi="HiraMinProN-W3" w:cs="STSongti-SC-Regular"/>
          <w:color w:val="auto"/>
          <w:sz w:val="26"/>
          <w:szCs w:val="24"/>
        </w:rPr>
        <w:t>变</w:t>
      </w:r>
      <w:r>
        <w:rPr>
          <w:rFonts w:ascii="HiraMinProN-W3" w:eastAsia="HiraMinProN-W3" w:hAnsi="HiraMinProN-W3" w:cs="HiraMinProN-W3"/>
          <w:color w:val="auto"/>
          <w:sz w:val="26"/>
          <w:szCs w:val="24"/>
        </w:rPr>
        <w:t>得越来越重要。它既提供了常</w:t>
      </w:r>
      <w:r>
        <w:rPr>
          <w:rFonts w:ascii="STSongti-SC-Regular" w:eastAsia="STSongti-SC-Regular" w:hAnsi="HiraMinProN-W3" w:cs="STSongti-SC-Regular"/>
          <w:color w:val="auto"/>
          <w:sz w:val="26"/>
          <w:szCs w:val="24"/>
        </w:rPr>
        <w:t>识，又培养了学生提出问题和解决问题的能力。而随着教育的行政化、制度化，中国文学史课程的地位也变得难以挑战。教材的编写则是依照主流意识形态而动。</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具体到中国文学史的教学层面，以1950年为分界线，之前是个人主义的自由教学，之后则是集中备课、集体编写教材，以教育部高等学校教材编审委员会领导编写的统一教学大纲进行教学。1950年的《大纲》以课时控制叙述节奏，对于教材的结构亦分为清楚明晰的导论、总结等。中国文学史的教材基本上也因循着集体话语。</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iraMinProN-W3" w:eastAsia="HiraMinProN-W3" w:hAnsi="HiraMinProN-W3" w:cs="HiraMinProN-W3"/>
          <w:color w:val="auto"/>
          <w:sz w:val="26"/>
          <w:szCs w:val="24"/>
        </w:rPr>
      </w:pPr>
      <w:r>
        <w:rPr>
          <w:rFonts w:ascii="Palatino-Roman" w:eastAsia="Palatino-Roman" w:hAnsi="HiraMinProN-W3" w:cs="Palatino-Roman"/>
          <w:color w:val="auto"/>
          <w:sz w:val="26"/>
          <w:szCs w:val="24"/>
        </w:rPr>
        <w:t>“</w:t>
      </w:r>
      <w:r>
        <w:rPr>
          <w:rFonts w:ascii="HiraMinProN-W3" w:eastAsia="HiraMinProN-W3" w:hAnsi="HiraMinProN-W3" w:cs="HiraMinProN-W3"/>
          <w:color w:val="auto"/>
          <w:sz w:val="26"/>
          <w:szCs w:val="24"/>
        </w:rPr>
        <w:t>中国文学史</w:t>
      </w:r>
      <w:r>
        <w:rPr>
          <w:rFonts w:ascii="Palatino-Roman" w:eastAsia="Palatino-Roman" w:hAnsi="HiraMinProN-W3" w:cs="Palatino-Roman"/>
          <w:color w:val="auto"/>
          <w:sz w:val="26"/>
          <w:szCs w:val="24"/>
        </w:rPr>
        <w:t>”</w:t>
      </w:r>
      <w:r>
        <w:rPr>
          <w:rFonts w:ascii="HiraMinProN-W3" w:eastAsia="HiraMinProN-W3" w:hAnsi="HiraMinProN-W3" w:cs="HiraMinProN-W3"/>
          <w:color w:val="auto"/>
          <w:sz w:val="26"/>
          <w:szCs w:val="24"/>
        </w:rPr>
        <w:t>一旦与自己</w:t>
      </w:r>
      <w:r>
        <w:rPr>
          <w:rFonts w:ascii="STSongti-SC-Regular" w:eastAsia="STSongti-SC-Regular" w:hAnsi="HiraMinProN-W3" w:cs="STSongti-SC-Regular"/>
          <w:color w:val="auto"/>
          <w:sz w:val="26"/>
          <w:szCs w:val="24"/>
        </w:rPr>
        <w:t>时代的主流</w:t>
      </w:r>
      <w:r>
        <w:rPr>
          <w:rFonts w:ascii="HiraMinProN-W3" w:eastAsia="HiraMinProN-W3" w:hAnsi="HiraMinProN-W3" w:cs="HiraMinProN-W3"/>
          <w:color w:val="auto"/>
          <w:sz w:val="26"/>
          <w:szCs w:val="24"/>
        </w:rPr>
        <w:t>意</w:t>
      </w:r>
      <w:r>
        <w:rPr>
          <w:rFonts w:ascii="STSongti-SC-Regular" w:eastAsia="STSongti-SC-Regular" w:hAnsi="HiraMinProN-W3" w:cs="STSongti-SC-Regular"/>
          <w:color w:val="auto"/>
          <w:sz w:val="26"/>
          <w:szCs w:val="24"/>
        </w:rPr>
        <w:t>识形态</w:t>
      </w:r>
      <w:r>
        <w:rPr>
          <w:rFonts w:ascii="HiraMinProN-W3" w:eastAsia="HiraMinProN-W3" w:hAnsi="HiraMinProN-W3" w:cs="HiraMinProN-W3"/>
          <w:color w:val="auto"/>
          <w:sz w:val="26"/>
          <w:szCs w:val="24"/>
        </w:rPr>
        <w:t>及教学方式相吻合，知</w:t>
      </w:r>
      <w:r>
        <w:rPr>
          <w:rFonts w:ascii="STSongti-SC-Regular" w:eastAsia="STSongti-SC-Regular" w:hAnsi="HiraMinProN-W3" w:cs="STSongti-SC-Regular"/>
          <w:color w:val="auto"/>
          <w:sz w:val="26"/>
          <w:szCs w:val="24"/>
        </w:rPr>
        <w:t>识</w:t>
      </w:r>
      <w:r>
        <w:rPr>
          <w:rFonts w:ascii="HiraMinProN-W3" w:eastAsia="HiraMinProN-W3" w:hAnsi="HiraMinProN-W3" w:cs="HiraMinProN-W3"/>
          <w:color w:val="auto"/>
          <w:sz w:val="26"/>
          <w:szCs w:val="24"/>
        </w:rPr>
        <w:t>、思想的权力加上教育的权力，即使它在</w:t>
      </w:r>
      <w:r>
        <w:rPr>
          <w:rFonts w:ascii="STSongti-SC-Regular" w:eastAsia="STSongti-SC-Regular" w:hAnsi="HiraMinProN-W3" w:cs="STSongti-SC-Regular"/>
          <w:color w:val="auto"/>
          <w:sz w:val="26"/>
          <w:szCs w:val="24"/>
        </w:rPr>
        <w:t>获</w:t>
      </w:r>
      <w:r>
        <w:rPr>
          <w:rFonts w:ascii="HiraMinProN-W3" w:eastAsia="HiraMinProN-W3" w:hAnsi="HiraMinProN-W3" w:cs="HiraMinProN-W3"/>
          <w:color w:val="auto"/>
          <w:sz w:val="26"/>
          <w:szCs w:val="24"/>
        </w:rPr>
        <w:t>得</w:t>
      </w:r>
      <w:r>
        <w:rPr>
          <w:rFonts w:ascii="STSongti-SC-Regular" w:eastAsia="STSongti-SC-Regular" w:hAnsi="HiraMinProN-W3" w:cs="STSongti-SC-Regular"/>
          <w:color w:val="auto"/>
          <w:sz w:val="26"/>
          <w:szCs w:val="24"/>
        </w:rPr>
        <w:t>绝对</w:t>
      </w:r>
      <w:r>
        <w:rPr>
          <w:rFonts w:ascii="HiraMinProN-W3" w:eastAsia="HiraMinProN-W3" w:hAnsi="HiraMinProN-W3" w:cs="HiraMinProN-W3"/>
          <w:color w:val="auto"/>
          <w:sz w:val="26"/>
          <w:szCs w:val="24"/>
        </w:rPr>
        <w:t>合理性、</w:t>
      </w:r>
      <w:r>
        <w:rPr>
          <w:rFonts w:ascii="STSongti-SC-Regular" w:eastAsia="STSongti-SC-Regular" w:hAnsi="HiraMinProN-W3" w:cs="STSongti-SC-Regular"/>
          <w:color w:val="auto"/>
          <w:sz w:val="26"/>
          <w:szCs w:val="24"/>
        </w:rPr>
        <w:t>绝对</w:t>
      </w:r>
      <w:r>
        <w:rPr>
          <w:rFonts w:ascii="HiraMinProN-W3" w:eastAsia="HiraMinProN-W3" w:hAnsi="HiraMinProN-W3" w:cs="HiraMinProN-W3"/>
          <w:color w:val="auto"/>
          <w:sz w:val="26"/>
          <w:szCs w:val="24"/>
        </w:rPr>
        <w:t>权威性的那一刻，就自然</w:t>
      </w:r>
      <w:r>
        <w:rPr>
          <w:rFonts w:ascii="STSongti-SC-Regular" w:eastAsia="STSongti-SC-Regular" w:hAnsi="HiraMinProN-W3" w:cs="STSongti-SC-Regular"/>
          <w:color w:val="auto"/>
          <w:sz w:val="26"/>
          <w:szCs w:val="24"/>
        </w:rPr>
        <w:t>产</w:t>
      </w:r>
      <w:r>
        <w:rPr>
          <w:rFonts w:ascii="HiraMinProN-W3" w:eastAsia="HiraMinProN-W3" w:hAnsi="HiraMinProN-W3" w:cs="HiraMinProN-W3"/>
          <w:color w:val="auto"/>
          <w:sz w:val="26"/>
          <w:szCs w:val="24"/>
        </w:rPr>
        <w:t>生出强烈的唯一性、排他性。（108）</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iraMinProN-W3" w:eastAsia="HiraMinProN-W3" w:hAnsi="HiraMinProN-W3" w:cs="HiraMinProN-W3"/>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HiraMinProN-W3" w:eastAsia="HiraMinProN-W3" w:hAnsi="HiraMinProN-W3" w:cs="HiraMinProN-W3"/>
          <w:color w:val="auto"/>
          <w:sz w:val="26"/>
          <w:szCs w:val="24"/>
        </w:rPr>
        <w:t>中国文学的全部内容和</w:t>
      </w:r>
      <w:r>
        <w:rPr>
          <w:rFonts w:ascii="STSongti-SC-Regular" w:eastAsia="STSongti-SC-Regular" w:hAnsi="HiraMinProN-W3" w:cs="STSongti-SC-Regular"/>
          <w:color w:val="auto"/>
          <w:sz w:val="26"/>
          <w:szCs w:val="24"/>
        </w:rPr>
        <w:t>阅读</w:t>
      </w:r>
      <w:r>
        <w:rPr>
          <w:rFonts w:ascii="HiraMinProN-W3" w:eastAsia="HiraMinProN-W3" w:hAnsi="HiraMinProN-W3" w:cs="HiraMinProN-W3"/>
          <w:color w:val="auto"/>
          <w:sz w:val="26"/>
          <w:szCs w:val="24"/>
        </w:rPr>
        <w:t>的丰富性也被</w:t>
      </w:r>
      <w:r>
        <w:rPr>
          <w:rFonts w:ascii="STSongti-SC-Regular" w:eastAsia="STSongti-SC-Regular" w:hAnsi="HiraMinProN-W3" w:cs="STSongti-SC-Regular"/>
          <w:color w:val="auto"/>
          <w:sz w:val="26"/>
          <w:szCs w:val="24"/>
        </w:rPr>
        <w:t>牺</w:t>
      </w:r>
      <w:r>
        <w:rPr>
          <w:rFonts w:ascii="HiraMinProN-W3" w:eastAsia="HiraMinProN-W3" w:hAnsi="HiraMinProN-W3" w:cs="HiraMinProN-W3"/>
          <w:color w:val="auto"/>
          <w:sz w:val="26"/>
          <w:szCs w:val="24"/>
        </w:rPr>
        <w:t>牲了。</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iraMinProN-W3">
    <w:altName w:val="Hiragino Mincho ProN W3"/>
    <w:charset w:val="80"/>
    <w:family w:val="auto"/>
    <w:pitch w:val="default"/>
  </w:font>
  <w:font w:name="STSongti-SC-Regular">
    <w:altName w:val="Songti SC Regular"/>
    <w:charset w:val="86"/>
    <w:family w:val="auto"/>
    <w:pitch w:val="default"/>
  </w:font>
  <w:font w:name="Palatino-Roman">
    <w:altName w:val="Palatino"/>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HiraMinProN-W3"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2020-08-21T09:12:02Z</dcterms:created>
  <dcterms:modified xsi:type="dcterms:W3CDTF">2020-08-21T09:12:02Z</dcterms:modified>
</cp:coreProperties>
</file>