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HiraMinProN-W3" w:eastAsia="HiraMinProN-W3" w:hAnsi="HiraMinProN-W3" w:cs="HiraMinProN-W3"/>
          <w:color w:val="auto"/>
          <w:sz w:val="26"/>
          <w:szCs w:val="24"/>
        </w:rPr>
        <w:t>和文学史</w:t>
      </w:r>
      <w:r>
        <w:rPr>
          <w:rFonts w:ascii="STSongti-SC-Regular" w:eastAsia="STSongti-SC-Regular" w:hAnsi="HiraMinProN-W3" w:cs="STSongti-SC-Regular"/>
          <w:color w:val="auto"/>
          <w:sz w:val="26"/>
          <w:szCs w:val="24"/>
        </w:rPr>
        <w:t>有关的观念：民族国家、比较文学、世界文学、孔德的科学实证主义。</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明治二十年（1889年）前后，日本鹿鸣馆时代，对全面欧化思潮的反省，使得国文学、汉文学的研究重新受到瞩目。</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 在世界文学背景下书写中国文学史</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当时西方对中国的研究主要集中在通晓汉语的语言学家和翻译家身上。但是他们的中国文学史的写法，以及他们在写作中国文学史中所呈现出来对中国文学、思想和审美趣味的认识，却和当时的中国人（包括辜鸿铭、胡适）不同。</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留学的经历使得胡适在审视汉语的时候带上了西方人的视角。认为新文学运动应该从介绍西方文学入手，使得新文学的创作者有学习的对象，然后才能进行创造。</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z w:val="26"/>
          <w:szCs w:val="24"/>
        </w:rPr>
      </w:pPr>
      <w:r>
        <w:rPr>
          <w:rFonts w:ascii="STSongti-SC-Regular" w:eastAsia="STSongti-SC-Regular" w:hAnsi="HiraMinProN-W3" w:cs="STSongti-SC-Regular"/>
          <w:color w:val="auto"/>
          <w:sz w:val="26"/>
          <w:szCs w:val="24"/>
        </w:rPr>
        <w:t>而对于中国文学史的书写，胡适的观点是，中国文学的历史，就是中国文学的“语言工具”的历史：活文学的白话代替了半死的文言所写的死文学。【语言工具？】</w:t>
      </w: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iraMinProN-W3">
    <w:altName w:val="Hiragino Mincho ProN W3"/>
    <w:charset w:val="80"/>
    <w:family w:val="auto"/>
    <w:pitch w:val="default"/>
  </w:font>
  <w:font w:name="STSongti-SC-Regular">
    <w:altName w:val="Songti SC Regular"/>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HiraMinProN-W3"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2020-08-21T09:12:03Z</dcterms:created>
  <dcterms:modified xsi:type="dcterms:W3CDTF">2020-08-21T09:12:03Z</dcterms:modified>
</cp:coreProperties>
</file>