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Palatino-Roman" w:cs="HiraMinProN-W3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“</w:t>
      </w:r>
      <w:r>
        <w:rPr>
          <w:rFonts w:ascii="HiraMinProN-W3" w:eastAsia="HiraMinProN-W3" w:hAnsi="Palatino-Roman" w:cs="HiraMinProN-W3"/>
          <w:color w:val="auto"/>
          <w:sz w:val="26"/>
          <w:szCs w:val="24"/>
        </w:rPr>
        <w:t>中国文学史</w:t>
      </w:r>
      <w:r>
        <w:rPr>
          <w:rFonts w:ascii="Palatino-Roman" w:eastAsia="Palatino-Roman" w:hAnsi="Palatino-Roman" w:cs="Palatino-Roman"/>
          <w:color w:val="auto"/>
          <w:sz w:val="26"/>
          <w:szCs w:val="24"/>
        </w:rPr>
        <w:t>”</w:t>
      </w:r>
      <w:r>
        <w:rPr>
          <w:rFonts w:ascii="HiraMinProN-W3" w:eastAsia="HiraMinProN-W3" w:hAnsi="Palatino-Roman" w:cs="HiraMinProN-W3"/>
          <w:color w:val="auto"/>
          <w:sz w:val="26"/>
          <w:szCs w:val="24"/>
        </w:rPr>
        <w:t>一旦与自己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时代的主流</w:t>
      </w:r>
      <w:r>
        <w:rPr>
          <w:rFonts w:ascii="HiraMinProN-W3" w:eastAsia="HiraMinProN-W3" w:hAnsi="Palatino-Roman" w:cs="HiraMinProN-W3"/>
          <w:color w:val="auto"/>
          <w:sz w:val="26"/>
          <w:szCs w:val="24"/>
        </w:rPr>
        <w:t>意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识形态</w:t>
      </w:r>
      <w:r>
        <w:rPr>
          <w:rFonts w:ascii="HiraMinProN-W3" w:eastAsia="HiraMinProN-W3" w:hAnsi="Palatino-Roman" w:cs="HiraMinProN-W3"/>
          <w:color w:val="auto"/>
          <w:sz w:val="26"/>
          <w:szCs w:val="24"/>
        </w:rPr>
        <w:t>及教学方式相吻合，知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识</w:t>
      </w:r>
      <w:r>
        <w:rPr>
          <w:rFonts w:ascii="HiraMinProN-W3" w:eastAsia="HiraMinProN-W3" w:hAnsi="Palatino-Roman" w:cs="HiraMinProN-W3"/>
          <w:color w:val="auto"/>
          <w:sz w:val="26"/>
          <w:szCs w:val="24"/>
        </w:rPr>
        <w:t>、思想的权力加上教育的权力，即使它在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获</w:t>
      </w:r>
      <w:r>
        <w:rPr>
          <w:rFonts w:ascii="HiraMinProN-W3" w:eastAsia="HiraMinProN-W3" w:hAnsi="Palatino-Roman" w:cs="HiraMinProN-W3"/>
          <w:color w:val="auto"/>
          <w:sz w:val="26"/>
          <w:szCs w:val="24"/>
        </w:rPr>
        <w:t>得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绝对</w:t>
      </w:r>
      <w:r>
        <w:rPr>
          <w:rFonts w:ascii="HiraMinProN-W3" w:eastAsia="HiraMinProN-W3" w:hAnsi="Palatino-Roman" w:cs="HiraMinProN-W3"/>
          <w:color w:val="auto"/>
          <w:sz w:val="26"/>
          <w:szCs w:val="24"/>
        </w:rPr>
        <w:t>合理性、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绝对</w:t>
      </w:r>
      <w:r>
        <w:rPr>
          <w:rFonts w:ascii="HiraMinProN-W3" w:eastAsia="HiraMinProN-W3" w:hAnsi="Palatino-Roman" w:cs="HiraMinProN-W3"/>
          <w:color w:val="auto"/>
          <w:sz w:val="26"/>
          <w:szCs w:val="24"/>
        </w:rPr>
        <w:t>权威性的那一刻，就自然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产</w:t>
      </w:r>
      <w:r>
        <w:rPr>
          <w:rFonts w:ascii="HiraMinProN-W3" w:eastAsia="HiraMinProN-W3" w:hAnsi="Palatino-Roman" w:cs="HiraMinProN-W3"/>
          <w:color w:val="auto"/>
          <w:sz w:val="26"/>
          <w:szCs w:val="24"/>
        </w:rPr>
        <w:t>生出强烈的唯一性、排他性。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HiraMinProN-W3">
    <w:altName w:val="Hiragino Mincho ProN W3"/>
    <w:charset w:val="80"/>
    <w:family w:val="auto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