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HiraMinProN-W3" w:cs="HiraMinProN-W3"/>
          <w:color w:val="auto"/>
          <w:sz w:val="26"/>
          <w:szCs w:val="24"/>
        </w:rPr>
      </w:pPr>
      <w:r>
        <w:rPr>
          <w:rFonts w:ascii="HiraMinProN-W3" w:eastAsia="HiraMinProN-W3" w:hAnsi="HiraMinProN-W3" w:cs="HiraMinProN-W3"/>
          <w:color w:val="auto"/>
          <w:sz w:val="26"/>
          <w:szCs w:val="24"/>
        </w:rPr>
        <w:t>文学史著作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说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到底是一种学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术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的著述体裁，而作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为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文学的学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问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本身，既存在于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现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在，也存在于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过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去和未来。中国文学史的写作不是横空出世，本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质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上也是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传统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学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术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的延</w:t>
      </w:r>
      <w:r>
        <w:rPr>
          <w:rFonts w:ascii="STSongti-SC-Regular" w:eastAsia="STSongti-SC-Regular" w:hAnsi="HiraMinProN-W3" w:cs="STSongti-SC-Regular"/>
          <w:color w:val="auto"/>
          <w:sz w:val="26"/>
          <w:szCs w:val="24"/>
        </w:rPr>
        <w:t>续</w:t>
      </w:r>
      <w:r>
        <w:rPr>
          <w:rFonts w:ascii="HiraMinProN-W3" w:eastAsia="HiraMinProN-W3" w:hAnsi="HiraMinProN-W3" w:cs="HiraMinProN-W3"/>
          <w:color w:val="auto"/>
          <w:sz w:val="26"/>
          <w:szCs w:val="24"/>
        </w:rPr>
        <w:t>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iraMinProN-W3">
    <w:altName w:val="Hiragino Mincho ProN W3"/>
    <w:charset w:val="80"/>
    <w:family w:val="auto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HiraMinProN-W3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