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  <w:t>对于表这种文体，《文心雕龙》有提到过它的源头：</w:t>
      </w: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  <w:t>漢定禮儀，則有四品：一曰章，二曰奏，三曰表，四曰議。章以謝恩，奏以按劾，表以陳請，議以執異。</w:t>
      </w: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  <w:t>此外，刘勰还提到了历代表文的规范：</w:t>
      </w: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</w:p>
    <w:p>
      <w:pPr>
        <w:spacing w:line="46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  <w:t>前漢表謝，遺篇寡存。及後漢察舉，必試章奏。左雄表議，臺閣為式；胡廣章奏，天下第一：并當時之杰筆也。</w:t>
      </w:r>
    </w:p>
    <w:p>
      <w:pPr>
        <w:spacing w:line="46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  <w:t>至于表的作用，又有：</w:t>
      </w: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  <w:t>原夫章表之為用也，所以對揚王庭，昭明心曲。既其身文，且亦國華。章以造闕，風矩應明，表以致策，骨采宜耀：循名課實，以文為本者也。</w:t>
      </w: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  <w:t>可见，表文一开始就是朝廷礼仪规范的一部分。只是由于功能不同，又与章、奏、议同列，专为陈情之用。而典范的出现又对表的写作的程式和风格作了具体规定。</w:t>
      </w:r>
    </w:p>
    <w:p>
      <w:pPr>
        <w:spacing w:line="280" w:lineRule="atLeast"/>
        <w:rPr>
          <w:rFonts w:ascii="STSongti-SC-Regular" w:eastAsia="STSongti-SC-Regular" w:hAnsi="STSongti-SC-Regular" w:cs="STSongti-SC-Regular"/>
          <w:color w:val="auto"/>
          <w:spacing w:val="0"/>
          <w:kern w:val="0"/>
          <w:sz w:val="24"/>
          <w:szCs w:val="24"/>
        </w:rPr>
      </w:pP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2020-08-21T09:11:59Z</dcterms:created>
  <dcterms:modified xsi:type="dcterms:W3CDTF">2020-08-21T09:11:59Z</dcterms:modified>
</cp:coreProperties>
</file>