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Palatino-Roman" w:cs="Palatino-Roman"/>
          <w:color w:val="auto"/>
          <w:sz w:val="26"/>
          <w:szCs w:val="24"/>
        </w:rPr>
      </w:pPr>
      <w:r>
        <w:rPr>
          <w:rFonts w:ascii="Palatino-Roman" w:eastAsia="Palatino-Roman" w:hAnsi="Palatino-Roman" w:cs="Palatino-Roman"/>
          <w:color w:val="auto"/>
          <w:sz w:val="26"/>
          <w:szCs w:val="24"/>
        </w:rPr>
        <w:t>284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Palatino-Roman" w:cs="Palatino-Roman"/>
          <w:color w:val="auto"/>
          <w:sz w:val="26"/>
          <w:szCs w:val="24"/>
        </w:rPr>
      </w:pPr>
    </w:p>
    <w:p>
      <w:pPr>
        <w:rPr>
          <w:rFonts w:ascii="Palatino-Roman" w:eastAsia="Palatino-Roman" w:hAnsi="Palatino-Roman" w:cs="Palatino-Roman"/>
          <w:color w:val="auto"/>
          <w:sz w:val="26"/>
          <w:szCs w:val="24"/>
        </w:rPr>
      </w:pPr>
      <w:hyperlink r:id="rId4" w:history="1">
        <w:r>
          <w:rPr>
            <w:rFonts w:ascii="Times-Roman" w:eastAsia="Times-Roman" w:hAnsi="Palatino-Roman" w:cs="Times-Roman"/>
            <w:color w:val="0000E9"/>
            <w:spacing w:val="0"/>
            <w:kern w:val="0"/>
            <w:sz w:val="24"/>
            <w:szCs w:val="24"/>
            <w:u w:val="single" w:color="0000E9"/>
          </w:rPr>
          <w:t>https://posts.careerengine.us/p/5d64340741c3c93ea5ccf17f</w:t>
        </w:r>
      </w:hyperlink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Palatino-Roman" w:cs="Palatino-Roman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Palatino-Roman" w:cs="Palatino-Roman"/>
          <w:color w:val="auto"/>
          <w:sz w:val="2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26"/>
          <w:szCs w:val="24"/>
        </w:rPr>
        <w:t>授业编：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Palatino-Roman" w:cs="Palatino-Roman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Palatino-Roman" w:cs="Palatino-Roman"/>
          <w:color w:val="auto"/>
          <w:sz w:val="2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26"/>
          <w:szCs w:val="24"/>
        </w:rPr>
        <w:t>欲言诗者，当辨言志之义，且需深信</w:t>
      </w:r>
      <w:r>
        <w:rPr>
          <w:rFonts w:ascii="Palatino-Roman" w:eastAsia="Palatino-Roman" w:hAnsi="Palatino-Roman" w:cs="Palatino-Roman"/>
          <w:color w:val="auto"/>
          <w:sz w:val="26"/>
          <w:szCs w:val="24"/>
        </w:rPr>
        <w:t>“</w:t>
      </w:r>
      <w:r>
        <w:rPr>
          <w:rFonts w:ascii="STSongti-SC-Regular" w:eastAsia="STSongti-SC-Regular" w:hAnsi="Palatino-Roman" w:cs="STSongti-SC-Regular"/>
          <w:color w:val="auto"/>
          <w:sz w:val="26"/>
          <w:szCs w:val="24"/>
        </w:rPr>
        <w:t>温柔敦厚诗之教也</w:t>
      </w:r>
      <w:r>
        <w:rPr>
          <w:rFonts w:ascii="Palatino-Roman" w:eastAsia="Palatino-Roman" w:hAnsi="Palatino-Roman" w:cs="Palatino-Roman"/>
          <w:color w:val="auto"/>
          <w:sz w:val="26"/>
          <w:szCs w:val="24"/>
        </w:rPr>
        <w:t>”</w:t>
      </w:r>
      <w:r>
        <w:rPr>
          <w:rFonts w:ascii="STSongti-SC-Regular" w:eastAsia="STSongti-SC-Regular" w:hAnsi="Palatino-Roman" w:cs="STSongti-SC-Regular"/>
          <w:color w:val="auto"/>
          <w:sz w:val="26"/>
          <w:szCs w:val="24"/>
        </w:rPr>
        <w:t>之古训。作一诗亦须心存此意，此乃诗之本领。余教人诗，全在于此。言辞虽妙、音韵虽工，背此义者不可谓之诗。且古昔之诗与乐本为一而非为二，得诗之时则得乐，自周之坠，乐政乱则诗乐歧，然虽歧而本源一也。乐之教谓之中和，</w:t>
      </w: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-Roman">
    <w:altName w:val="Palatino"/>
    <w:charset w:val="00"/>
    <w:family w:val="roman"/>
    <w:pitch w:val="default"/>
  </w:font>
  <w:font w:name="Times-Roman">
    <w:altName w:val="Times Roman"/>
    <w:charset w:val="00"/>
    <w:family w:val="roman"/>
    <w:pitch w:val="default"/>
  </w:font>
  <w:font w:name="STSongti-SC-Regular">
    <w:altName w:val="Songti SC Regular"/>
    <w:charset w:val="86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Palatino-Roman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osts.careerengine.us/p/5d64340741c3c93ea5ccf17f" TargetMode="Externa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2020-08-21T09:12:01Z</dcterms:created>
  <dcterms:modified xsi:type="dcterms:W3CDTF">2020-08-21T09:12:01Z</dcterms:modified>
</cp:coreProperties>
</file>