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66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 xml:space="preserve">&gt; 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联句又被叫做连句和联诗。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尚书：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spacing w:line="420" w:lineRule="atLeast"/>
        <w:rPr>
          <w:rFonts w:ascii="ArialMT" w:eastAsia="ArialMT" w:hAnsi="Palatino-Roman" w:cs="ArialMT"/>
          <w:color w:val="424242"/>
          <w:spacing w:val="0"/>
          <w:kern w:val="0"/>
          <w:sz w:val="28"/>
          <w:szCs w:val="24"/>
          <w:highlight w:val="none"/>
        </w:rPr>
      </w:pPr>
      <w:r>
        <w:rPr>
          <w:rFonts w:ascii="ArialMT" w:eastAsia="ArialMT" w:hAnsi="Palatino-Roman" w:cs="ArialMT"/>
          <w:color w:val="424242"/>
          <w:spacing w:val="0"/>
          <w:kern w:val="0"/>
          <w:sz w:val="28"/>
          <w:szCs w:val="24"/>
          <w:highlight w:val="white"/>
        </w:rPr>
        <w:t>(</w:t>
      </w:r>
      <w:r>
        <w:rPr>
          <w:rFonts w:ascii="PingFangSC-Regular" w:eastAsia="PingFangSC-Regular" w:hAnsi="Palatino-Roman" w:cs="PingFangSC-Regular"/>
          <w:color w:val="D2352C"/>
          <w:spacing w:val="0"/>
          <w:kern w:val="0"/>
          <w:sz w:val="28"/>
          <w:szCs w:val="24"/>
          <w:highlight w:val="white"/>
        </w:rPr>
        <w:t>書經</w:t>
      </w: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注卷八頁三一一</w:t>
      </w:r>
      <w:r>
        <w:rPr>
          <w:rFonts w:ascii="ArialMT" w:eastAsia="ArialMT" w:hAnsi="Palatino-Roman" w:cs="ArialMT"/>
          <w:color w:val="424242"/>
          <w:spacing w:val="0"/>
          <w:kern w:val="0"/>
          <w:sz w:val="28"/>
          <w:szCs w:val="24"/>
          <w:highlight w:val="white"/>
        </w:rPr>
        <w:t>)</w:t>
      </w: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亦訓比必為戒敕。又曰</w:t>
      </w:r>
      <w:r>
        <w:rPr>
          <w:rFonts w:ascii="ArialMT" w:eastAsia="ArialMT" w:hAnsi="Palatino-Roman" w:cs="ArialMT"/>
          <w:color w:val="424242"/>
          <w:spacing w:val="0"/>
          <w:kern w:val="0"/>
          <w:sz w:val="28"/>
          <w:szCs w:val="24"/>
          <w:highlight w:val="white"/>
        </w:rPr>
        <w:t>:</w:t>
      </w: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「此篇凡言戒酒</w:t>
      </w:r>
      <w:r>
        <w:rPr>
          <w:rFonts w:ascii="ArialMT" w:eastAsia="ArialMT" w:hAnsi="Palatino-Roman" w:cs="ArialMT"/>
          <w:color w:val="424242"/>
          <w:spacing w:val="0"/>
          <w:kern w:val="0"/>
          <w:sz w:val="28"/>
          <w:szCs w:val="24"/>
          <w:highlight w:val="white"/>
        </w:rPr>
        <w:t>,</w:t>
      </w: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皆曰比</w:t>
      </w:r>
      <w:r>
        <w:rPr>
          <w:rFonts w:ascii="ArialMT" w:eastAsia="ArialMT" w:hAnsi="Palatino-Roman" w:cs="ArialMT"/>
          <w:color w:val="424242"/>
          <w:spacing w:val="0"/>
          <w:kern w:val="0"/>
          <w:sz w:val="28"/>
          <w:szCs w:val="24"/>
          <w:highlight w:val="white"/>
        </w:rPr>
        <w:t xml:space="preserve"> ... </w:t>
      </w: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不如楊氏之說為勝。股肪</w:t>
      </w:r>
      <w:r>
        <w:rPr>
          <w:rFonts w:ascii="ArialMT" w:eastAsia="ArialMT" w:hAnsi="Palatino-Roman" w:cs="ArialMT"/>
          <w:color w:val="424242"/>
          <w:spacing w:val="0"/>
          <w:kern w:val="0"/>
          <w:sz w:val="28"/>
          <w:szCs w:val="24"/>
          <w:highlight w:val="white"/>
        </w:rPr>
        <w:t>,</w:t>
      </w: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莊述祖訓臣下</w:t>
      </w:r>
      <w:r>
        <w:rPr>
          <w:rFonts w:ascii="ArialMT" w:eastAsia="ArialMT" w:hAnsi="Palatino-Roman" w:cs="ArialMT"/>
          <w:color w:val="424242"/>
          <w:spacing w:val="0"/>
          <w:kern w:val="0"/>
          <w:sz w:val="28"/>
          <w:szCs w:val="24"/>
          <w:highlight w:val="white"/>
        </w:rPr>
        <w:t>(</w:t>
      </w: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尚書今古文孜證卷三頁十七</w:t>
      </w:r>
      <w:r>
        <w:rPr>
          <w:rFonts w:ascii="ArialMT" w:eastAsia="ArialMT" w:hAnsi="Palatino-Roman" w:cs="ArialMT"/>
          <w:color w:val="424242"/>
          <w:spacing w:val="0"/>
          <w:kern w:val="0"/>
          <w:sz w:val="28"/>
          <w:szCs w:val="24"/>
          <w:highlight w:val="white"/>
        </w:rPr>
        <w:t>,</w:t>
      </w: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皇陶謨以</w:t>
      </w:r>
      <w:r>
        <w:rPr>
          <w:rFonts w:ascii="PingFangSC-Regular" w:eastAsia="PingFangSC-Regular" w:hAnsi="Palatino-Roman" w:cs="PingFangSC-Regular"/>
          <w:color w:val="D2352C"/>
          <w:spacing w:val="0"/>
          <w:kern w:val="0"/>
          <w:sz w:val="28"/>
          <w:szCs w:val="24"/>
          <w:highlight w:val="white"/>
        </w:rPr>
        <w:t>元首</w:t>
      </w: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對股肪言者三</w:t>
      </w:r>
      <w:r>
        <w:rPr>
          <w:rFonts w:ascii="ArialMT" w:eastAsia="ArialMT" w:hAnsi="Palatino-Roman" w:cs="ArialMT"/>
          <w:color w:val="424242"/>
          <w:spacing w:val="0"/>
          <w:kern w:val="0"/>
          <w:sz w:val="28"/>
          <w:szCs w:val="24"/>
          <w:highlight w:val="white"/>
        </w:rPr>
        <w:t>, ...</w:t>
      </w:r>
    </w:p>
    <w:p>
      <w:pPr>
        <w:spacing w:line="320" w:lineRule="atLeast"/>
        <w:rPr>
          <w:rFonts w:ascii="ArialMT" w:eastAsia="ArialMT" w:hAnsi="Palatino-Roman" w:cs="ArialMT"/>
          <w:color w:val="1A1A1A"/>
          <w:spacing w:val="0"/>
          <w:kern w:val="0"/>
          <w:sz w:val="28"/>
          <w:szCs w:val="24"/>
          <w:highlight w:val="none"/>
        </w:rPr>
      </w:pPr>
    </w:p>
    <w:p>
      <w:pPr>
        <w:spacing w:line="320" w:lineRule="atLeast"/>
        <w:rPr>
          <w:rFonts w:ascii="PingFangSC-Regular" w:eastAsia="PingFangSC-Regular" w:hAnsi="Palatino-Roman" w:cs="PingFangSC-Regular"/>
          <w:color w:val="1A1A1A"/>
          <w:spacing w:val="0"/>
          <w:kern w:val="0"/>
          <w:sz w:val="28"/>
          <w:szCs w:val="24"/>
          <w:highlight w:val="none"/>
        </w:rPr>
      </w:pPr>
      <w:r>
        <w:rPr>
          <w:rFonts w:ascii="PingFangSC-Regular" w:eastAsia="PingFangSC-Regular" w:hAnsi="Palatino-Roman" w:cs="PingFangSC-Regular"/>
          <w:color w:val="1A1A1A"/>
          <w:spacing w:val="0"/>
          <w:kern w:val="0"/>
          <w:sz w:val="28"/>
          <w:szCs w:val="24"/>
          <w:highlight w:val="none"/>
        </w:rPr>
        <w:t>汉武帝：日月星辰和四时</w:t>
      </w:r>
    </w:p>
    <w:p>
      <w:pPr>
        <w:spacing w:line="320" w:lineRule="atLeast"/>
        <w:rPr>
          <w:rFonts w:ascii="PingFangSC-Regular" w:eastAsia="PingFangSC-Regular" w:hAnsi="Palatino-Roman" w:cs="PingFangSC-Regular"/>
          <w:color w:val="1A1A1A"/>
          <w:spacing w:val="0"/>
          <w:kern w:val="0"/>
          <w:sz w:val="28"/>
          <w:szCs w:val="24"/>
          <w:highlight w:val="none"/>
        </w:rPr>
      </w:pPr>
    </w:p>
    <w:p>
      <w:pPr>
        <w:spacing w:line="320" w:lineRule="atLeast"/>
        <w:rPr>
          <w:rFonts w:ascii="PingFangSC-Regular" w:eastAsia="PingFangSC-Regular" w:hAnsi="Palatino-Roman" w:cs="PingFangSC-Regular"/>
          <w:color w:val="1A1A1A"/>
          <w:spacing w:val="0"/>
          <w:kern w:val="0"/>
          <w:sz w:val="28"/>
          <w:szCs w:val="24"/>
          <w:highlight w:val="none"/>
        </w:rPr>
      </w:pPr>
      <w:r>
        <w:rPr>
          <w:rFonts w:ascii="PingFangSC-Regular" w:eastAsia="PingFangSC-Regular" w:hAnsi="Palatino-Roman" w:cs="PingFangSC-Regular"/>
          <w:color w:val="1A1A1A"/>
          <w:spacing w:val="0"/>
          <w:kern w:val="0"/>
          <w:sz w:val="28"/>
          <w:szCs w:val="24"/>
          <w:highlight w:val="none"/>
        </w:rPr>
        <w:t>东方朔</w:t>
      </w:r>
    </w:p>
    <w:p>
      <w:pPr>
        <w:spacing w:line="320" w:lineRule="atLeast"/>
        <w:rPr>
          <w:rFonts w:ascii="PingFangSC-Regular" w:eastAsia="PingFangSC-Regular" w:hAnsi="Palatino-Roman" w:cs="PingFangSC-Regular"/>
          <w:color w:val="1A1A1A"/>
          <w:spacing w:val="0"/>
          <w:kern w:val="0"/>
          <w:sz w:val="28"/>
          <w:szCs w:val="24"/>
          <w:highlight w:val="none"/>
        </w:rPr>
      </w:pPr>
    </w:p>
    <w:p>
      <w:pPr>
        <w:spacing w:line="320" w:lineRule="atLeast"/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</w:pPr>
      <w:r>
        <w:rPr>
          <w:rFonts w:ascii="PingFangSC-Regular" w:eastAsia="PingFangSC-Regular" w:hAnsi="Palatino-Roman" w:cs="PingFangSC-Regular"/>
          <w:color w:val="1A1A1A"/>
          <w:spacing w:val="0"/>
          <w:kern w:val="0"/>
          <w:sz w:val="28"/>
          <w:szCs w:val="24"/>
          <w:highlight w:val="none"/>
        </w:rPr>
        <w:t>刘勰 文心雕龙 明诗篇： 孝武爱文，</w:t>
      </w: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柏梁列韵</w:t>
      </w:r>
    </w:p>
    <w:p>
      <w:pPr>
        <w:spacing w:line="320" w:lineRule="atLeast"/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</w:pPr>
    </w:p>
    <w:p>
      <w:pPr>
        <w:spacing w:line="320" w:lineRule="atLeast"/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</w:pPr>
      <w:r>
        <w:rPr>
          <w:rFonts w:ascii="PingFangSC-Regular" w:eastAsia="PingFangSC-Regular" w:hAnsi="Palatino-Roman" w:cs="PingFangSC-Regular"/>
          <w:color w:val="424242"/>
          <w:spacing w:val="0"/>
          <w:kern w:val="0"/>
          <w:sz w:val="28"/>
          <w:szCs w:val="24"/>
          <w:highlight w:val="white"/>
        </w:rPr>
        <w:t>唐代艺文类聚、明代的徐师会的文体明辨、李攀龙的古今诗删、清代沈德潜的古诗源、都有柏梁诗。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  <w:font w:name="ArialMT">
    <w:altName w:val="Arial"/>
    <w:charset w:val="00"/>
    <w:family w:val="swiss"/>
    <w:pitch w:val="default"/>
  </w:font>
  <w:font w:name="PingFangSC-Regular">
    <w:altName w:val="PingFang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