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评价新井白石：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余按白石天受敏妙，独步艺苑。所谓锦心绣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584200" cy="4826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索诸异邦古诗人中，未可多得者，而今人贵耳贱目，不甚信余言。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韩人索白石诗草者，陆续不已。可见异邦人犹且玉之。白石尝和清人魏惟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673100" cy="6096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八居，七律八首……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41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……此一时游戏，虽不足论全豹，可窥其天受之一斑。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要之，天受之富，吐言成章，往往不遑思绎。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【江村北海的论诗标准显然与他那个时代的主流不同。】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关于祇園南海的轶事：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伯玉年十七，会春分日，自试其才，自午至子，赋得五言律诗一百首。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是岁秋分，大会宾客，午漏初下，进请诸宾，各命诗题，对坐谈笑，信笔挥霍。夜未半，百首完成，通计前后，二百首。藻绘烂漫，而无一句雷同者。满座惊愕，叹服焉。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【江村北海在评价中对轶事的书写】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42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芳洲文宗韩欧。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【典范的选择】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近时学风轻薄，艺苑绝无此等人，可叹耳。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【对当时学风的评价】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——-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520700" cy="201930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祯卿十四岁时，置诗草于案上，南草寿。取而览之，吟诵不已。既而闻其自作，大惊曰：吾谓抄写唐诗。对马侯闻之，乃使其授业木门。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【并考二书，殊有可疑。】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43: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南部国华，年十八丧父，又哀毁过礼，奉母至孝。友爱二弟。行已以道。其为学，博通经史，又慨然有大志。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天之忌才，其将谓何，且德者未必有才。而才子往往无行。国华有绝世才，而孝悌恭谨，可谓全人。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44: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服部宽斋，字绍卿，东都人，强记力学，且以孝友闻。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土肥允仲。生而聪悟，及其能言，授书即成诵，六岁作诗。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文庙潜邸之日，召见试讲论语中庸，论辩甚明，且命书其所赋诗，书法亦可观。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【江村北海中的日本汉诗人典范应当具备哪些要素？】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45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余若龄在赤石，始谒其人，既已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901700" cy="118110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然矣。而薰然如煦，毫不修边幅，且天性爱才，循循诱奖，不以所长加人。（梁rui岩）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余谓今作者，患在才者，不勤推敲，勤者未必有才也。rui岩有天纵之才，而极力锻炼。何以知其然也？rui岩与余兄弟交称数年，赠答殊多。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【个人见闻】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桂山彩岩。余在赤石，梁景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787400" cy="86360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数称彩岩诗律精工。因知其作家。后来信州湖玄岱亦盛称彩岩， 乃益知其作家。……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京摄年少，往往不知桂秘监为何人，盖数十年来东都艺文播传于京摄者，特zhi园诸子，其他虽鸾凤吐音，寥乎无闻，亦可见一时风气之偏。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46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重要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余谓明诗之行于近时，气运使之也。请详论之，</w:t>
      </w:r>
      <w:r>
        <w:rPr>
          <w:rFonts w:ascii="STSongti-SC-Bold" w:eastAsia="STSongti-SC-Bold" w:hAnsi="STSongti-SC-Regular" w:cs="STSongti-SC-Bold"/>
          <w:b/>
          <w:color w:val="auto"/>
          <w:sz w:val="38"/>
          <w:szCs w:val="24"/>
          <w:highlight w:val="yellow"/>
        </w:rPr>
        <w:t>夫诗汉土声音也。</w:t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我邦人不学诗则矣已，苟学之也，不能不承顺汉土也。而诗体每随气韵变迁，所谓三百篇。汉魏六朝唐宋元明。自今观之，轶然相别而当时作者，则不知其然。而然者，气运使之者，非耶。</w:t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yellow"/>
        </w:rPr>
        <w:t>我邦与汉土相距万里，划以大海，是以气运每衰于彼。而后盛于此者，亦势所不免。</w:t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其后于彼，大抵二百年。胡知其然，怀风凌云二集所收五言四韵，世以为律诗，非也。其诗对偶虽背，声律未谐，是古诗渐变为近体齐梁陈隋渐多其作。我邦承其气运者，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711200" cy="66040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其年代，文武天皇，大宝元年，为唐中宗嗣圣十四年，上距梁武帝天监元年，几二百年。弘仁天长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596900" cy="128270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初唐天历应和，崇尚白并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596900" cy="55880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勉乎百年之后。五山诗学之盛，当明中世在彼，则李何王李，唱复古于前后。在此则南宋北元。专传播于一时。其距宋元之际，亦二百年矣。我元禄，距明嘉靖亦复二百年。则七子诗，当行于我邦，气运已符。故有先于徂徕已称扬七子者，活所备忘录曰：李沧溟，著唐诗选，甚契余意，学诗者舍之何适。又曰：谢茂秦，洞庭湖徐子与吴明卿岳阳楼作，气象雄壮，与绝景相敌。殆可追步少陵浩然二氏。永田善斋脍余杂录亦论及七子，而尔时气运未熟，故唱之而无和者。迄徂徕时，其机已熟，白石沧浪rui岩南海，大抵与徂徕同时。并非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711200" cy="173990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之余勇者，而其诗虽曰宗唐，亦唯明诗声格，故云气运使之也。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749300" cy="68580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是论之，则其或继今者，虽数百年可知也。或谓余曰：子之论既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685800" cy="685800"/>
            <wp:docPr id="1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似矣。其继今者何如？曰：余闻明诗四变，李何一变，王李二变，二袁三变，钟谭四变。愈变愈卑，卑焉取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558800" cy="660400"/>
            <wp:docPr id="1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后，有陈卧子出，著明诗选，吹王李余烬，而气运既替，不能复振。清人议论不一。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774700" cy="1231900"/>
            <wp:docPr id="10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书影，呵斥王李，为小儿语，归愚别载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558800" cy="495300"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述卧子，少别机轴，又有专宗晚唐，虽参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698500" cy="533400"/>
            <wp:docPr id="10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异途，以余观之，清人篇咏，大抵诸家相似，其继整雅柔颇似于元季明初作家，较诸近时所谓明诗者，无剽窃雷同之病，而其气格则稍淡弱矣。当今京摄才</w:t>
      </w:r>
      <w:r>
        <w:rPr>
          <w:rFonts w:ascii="Helvetica" w:eastAsia="Helvetica" w:hAnsi="STSongti-SC-Regular" w:cs="Helvetica"/>
          <w:b w:val="0"/>
          <w:color w:val="auto"/>
          <w:sz w:val="24"/>
          <w:szCs w:val="24"/>
          <w:highlight w:val="none"/>
        </w:rPr>
        <w:drawing>
          <wp:inline>
            <wp:extent cx="774700" cy="584200"/>
            <wp:docPr id="104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b w:val="0"/>
          <w:color w:val="auto"/>
          <w:sz w:val="38"/>
          <w:szCs w:val="24"/>
          <w:highlight w:val="none"/>
        </w:rPr>
        <w:t>所作，往往出于此途。亦气运所鼓，不得不然。而遐州远境，至今犹尸祝七子者，气运推移，有本末，有迟速，犹我邦之于汉土也。或曰：响微徂徕，则……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Helvetica">
    <w:charset w:val="00"/>
    <w:family w:val="swiss"/>
    <w:pitch w:val="default"/>
  </w:font>
  <w:font w:name="STSongti-SC-Bold">
    <w:altName w:val="Songti SC Bold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