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梳理和评述现有日本汉诗史著作。</w:t>
      </w:r>
    </w:p>
    <w:p>
      <w:pPr>
        <w:numPr>
          <w:ilvl w:val="0"/>
          <w:numId w:val="1"/>
        </w:numPr>
        <w:tabs>
          <w:tab w:val="left" w:pos="220"/>
          <w:tab w:val="left" w:pos="720"/>
        </w:tabs>
        <w:ind w:hanging="500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日本诗史</w:t>
      </w:r>
    </w:p>
    <w:p>
      <w:pPr>
        <w:numPr>
          <w:ilvl w:val="0"/>
          <w:numId w:val="1"/>
        </w:numPr>
        <w:tabs>
          <w:tab w:val="left" w:pos="220"/>
          <w:tab w:val="left" w:pos="72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日本汉诗史</w:t>
      </w:r>
    </w:p>
    <w:p>
      <w:pPr>
        <w:numPr>
          <w:ilvl w:val="1"/>
          <w:numId w:val="1"/>
        </w:numPr>
        <w:tabs>
          <w:tab w:val="left" w:pos="940"/>
          <w:tab w:val="left" w:pos="1440"/>
        </w:tabs>
        <w:ind w:hanging="500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20"/>
          <w:tab w:val="left" w:pos="720"/>
        </w:tabs>
        <w:ind w:hanging="500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日本汉诗发展史</w:t>
      </w:r>
    </w:p>
    <w:p>
      <w:pPr>
        <w:numPr>
          <w:ilvl w:val="0"/>
          <w:numId w:val="1"/>
        </w:numPr>
        <w:tabs>
          <w:tab w:val="left" w:pos="220"/>
          <w:tab w:val="left" w:pos="720"/>
        </w:tabs>
        <w:ind w:hanging="500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东亚汉诗史论</w:t>
      </w:r>
    </w:p>
    <w:p>
      <w:pPr>
        <w:numPr>
          <w:ilvl w:val="0"/>
          <w:numId w:val="1"/>
        </w:numPr>
        <w:tabs>
          <w:tab w:val="left" w:pos="220"/>
          <w:tab w:val="left" w:pos="72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近世东亚汉诗流变</w:t>
      </w:r>
    </w:p>
    <w:p>
      <w:pPr>
        <w:numPr>
          <w:ilvl w:val="1"/>
          <w:numId w:val="1"/>
        </w:numPr>
        <w:tabs>
          <w:tab w:val="left" w:pos="940"/>
          <w:tab w:val="left" w:pos="144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什么是近世？</w:t>
      </w:r>
    </w:p>
    <w:p>
      <w:pPr>
        <w:numPr>
          <w:ilvl w:val="2"/>
          <w:numId w:val="1"/>
        </w:numPr>
        <w:tabs>
          <w:tab w:val="left" w:pos="1660"/>
          <w:tab w:val="left" w:pos="216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历史的分类 对近世一词的考察</w:t>
      </w:r>
    </w:p>
    <w:p>
      <w:pPr>
        <w:numPr>
          <w:ilvl w:val="3"/>
          <w:numId w:val="1"/>
        </w:numPr>
        <w:tabs>
          <w:tab w:val="left" w:pos="2380"/>
          <w:tab w:val="left" w:pos="288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西方历史 历史分期问题</w:t>
      </w:r>
    </w:p>
    <w:p>
      <w:pPr>
        <w:numPr>
          <w:ilvl w:val="4"/>
          <w:numId w:val="1"/>
        </w:numPr>
        <w:tabs>
          <w:tab w:val="left" w:pos="3100"/>
          <w:tab w:val="left" w:pos="360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</w:p>
    <w:p>
      <w:pPr>
        <w:numPr>
          <w:ilvl w:val="3"/>
          <w:numId w:val="1"/>
        </w:numPr>
        <w:tabs>
          <w:tab w:val="left" w:pos="2380"/>
          <w:tab w:val="left" w:pos="288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中国历史</w:t>
      </w:r>
    </w:p>
    <w:p>
      <w:pPr>
        <w:numPr>
          <w:ilvl w:val="3"/>
          <w:numId w:val="1"/>
        </w:numPr>
        <w:tabs>
          <w:tab w:val="left" w:pos="2380"/>
          <w:tab w:val="left" w:pos="288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日本历史</w:t>
      </w:r>
    </w:p>
    <w:p>
      <w:pPr>
        <w:numPr>
          <w:ilvl w:val="2"/>
          <w:numId w:val="1"/>
        </w:numPr>
        <w:tabs>
          <w:tab w:val="left" w:pos="1660"/>
          <w:tab w:val="left" w:pos="216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文学史的分类</w:t>
      </w:r>
    </w:p>
    <w:p>
      <w:pPr>
        <w:numPr>
          <w:ilvl w:val="3"/>
          <w:numId w:val="1"/>
        </w:numPr>
        <w:tabs>
          <w:tab w:val="left" w:pos="2380"/>
          <w:tab w:val="left" w:pos="288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中国文学史</w:t>
      </w:r>
    </w:p>
    <w:p>
      <w:pPr>
        <w:numPr>
          <w:ilvl w:val="3"/>
          <w:numId w:val="1"/>
        </w:numPr>
        <w:tabs>
          <w:tab w:val="left" w:pos="2380"/>
          <w:tab w:val="left" w:pos="288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日本文学史</w:t>
      </w:r>
    </w:p>
    <w:p>
      <w:pPr>
        <w:numPr>
          <w:ilvl w:val="3"/>
          <w:numId w:val="1"/>
        </w:numPr>
        <w:tabs>
          <w:tab w:val="left" w:pos="2380"/>
          <w:tab w:val="left" w:pos="288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日本汉文学史</w:t>
      </w:r>
    </w:p>
    <w:p>
      <w:pPr>
        <w:numPr>
          <w:ilvl w:val="2"/>
          <w:numId w:val="1"/>
        </w:numPr>
        <w:tabs>
          <w:tab w:val="left" w:pos="1660"/>
          <w:tab w:val="left" w:pos="2160"/>
          <w:tab w:val="left" w:pos="2240"/>
          <w:tab w:val="left" w:pos="280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语言学史</w:t>
      </w:r>
    </w:p>
    <w:p>
      <w:pPr>
        <w:numPr>
          <w:ilvl w:val="3"/>
          <w:numId w:val="1"/>
        </w:numPr>
        <w:tabs>
          <w:tab w:val="left" w:pos="2380"/>
          <w:tab w:val="left" w:pos="288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汉语</w:t>
      </w:r>
    </w:p>
    <w:p>
      <w:pPr>
        <w:numPr>
          <w:ilvl w:val="3"/>
          <w:numId w:val="1"/>
        </w:numPr>
        <w:tabs>
          <w:tab w:val="left" w:pos="2380"/>
          <w:tab w:val="left" w:pos="288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日语 近世/近代语</w:t>
      </w:r>
    </w:p>
    <w:p>
      <w:pPr>
        <w:numPr>
          <w:ilvl w:val="1"/>
          <w:numId w:val="1"/>
        </w:numPr>
        <w:tabs>
          <w:tab w:val="left" w:pos="940"/>
          <w:tab w:val="left" w:pos="144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AppleColorEmoji" w:eastAsia="AppleColorEmoji" w:hAnsi="STSongti-SC-Regular" w:cs="AppleColorEmoji"/>
          <w:color w:val="000000"/>
          <w:spacing w:val="0"/>
          <w:kern w:val="1"/>
          <w:sz w:val="24"/>
          <w:szCs w:val="24"/>
        </w:rPr>
        <w:t>⬅️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为什么对这个问题的梳理是重要的？从本书的角度看</w:t>
      </w:r>
    </w:p>
    <w:p>
      <w:pPr>
        <w:numPr>
          <w:ilvl w:val="2"/>
          <w:numId w:val="1"/>
        </w:numPr>
        <w:tabs>
          <w:tab w:val="left" w:pos="1660"/>
          <w:tab w:val="left" w:pos="216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日本近世文化的总体特征？</w:t>
      </w:r>
    </w:p>
    <w:p>
      <w:pPr>
        <w:numPr>
          <w:ilvl w:val="2"/>
          <w:numId w:val="1"/>
        </w:numPr>
        <w:tabs>
          <w:tab w:val="left" w:pos="1660"/>
          <w:tab w:val="left" w:pos="216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日本近世汉诗的位置如何？</w:t>
      </w:r>
    </w:p>
    <w:p>
      <w:pPr>
        <w:numPr>
          <w:ilvl w:val="1"/>
          <w:numId w:val="1"/>
        </w:numPr>
        <w:tabs>
          <w:tab w:val="left" w:pos="940"/>
          <w:tab w:val="left" w:pos="144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/ / 对史学理论中近世问题的梳理如何影响日本汉诗史的研究？/ 近世的几个层次：历史学，文学史，语言学的分期 / 为什么语言学的分期被忽略，但是是重要的？</w:t>
      </w:r>
    </w:p>
    <w:p>
      <w:pPr>
        <w:numPr>
          <w:ilvl w:val="1"/>
          <w:numId w:val="1"/>
        </w:numPr>
        <w:tabs>
          <w:tab w:val="left" w:pos="940"/>
          <w:tab w:val="left" w:pos="144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近世日本汉诗的意义或在日本汉诗史中的位置所在？</w:t>
      </w:r>
    </w:p>
    <w:p>
      <w:pPr>
        <w:numPr>
          <w:ilvl w:val="2"/>
          <w:numId w:val="1"/>
        </w:numPr>
        <w:tabs>
          <w:tab w:val="left" w:pos="1660"/>
          <w:tab w:val="left" w:pos="2160"/>
        </w:tabs>
        <w:ind w:hanging="500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近世日本文学在日本文学史中的地位？</w:t>
      </w:r>
    </w:p>
    <w:p>
      <w:pP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评述的角度</w:t>
      </w:r>
    </w:p>
    <w:p>
      <w:pPr>
        <w:numPr>
          <w:ilvl w:val="0"/>
          <w:numId w:val="2"/>
        </w:numPr>
        <w:tabs>
          <w:tab w:val="left" w:pos="220"/>
          <w:tab w:val="left" w:pos="720"/>
        </w:tabs>
        <w:ind w:hanging="500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对于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  <w:t>“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汉诗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  <w:t>”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这一文体的自觉意识是如何体现的？</w:t>
      </w:r>
    </w:p>
    <w:p>
      <w:pPr>
        <w:numPr>
          <w:ilvl w:val="0"/>
          <w:numId w:val="2"/>
        </w:numPr>
        <w:tabs>
          <w:tab w:val="left" w:pos="220"/>
          <w:tab w:val="left" w:pos="720"/>
        </w:tabs>
        <w:ind w:hanging="500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汉诗史观</w:t>
      </w:r>
    </w:p>
    <w:p>
      <w:pPr>
        <w:numPr>
          <w:ilvl w:val="0"/>
          <w:numId w:val="2"/>
        </w:numPr>
        <w:tabs>
          <w:tab w:val="left" w:pos="220"/>
          <w:tab w:val="left" w:pos="72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</w:rPr>
        <w:t>体例、分期与演进逻辑</w:t>
      </w:r>
    </w:p>
    <w:p>
      <w:pPr>
        <w:numPr>
          <w:ilvl w:val="0"/>
          <w:numId w:val="2"/>
        </w:numPr>
        <w:tabs>
          <w:tab w:val="left" w:pos="220"/>
          <w:tab w:val="left" w:pos="720"/>
        </w:tabs>
        <w:ind w:hanging="500"/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1"/>
          <w:sz w:val="24"/>
          <w:szCs w:val="24"/>
        </w:rPr>
        <w:t>各自独特的问题域</w:t>
      </w:r>
    </w:p>
    <w:p>
      <w:pPr>
        <w:tabs>
          <w:tab w:val="left" w:pos="560"/>
        </w:tabs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  <w:t>——</w:t>
      </w:r>
    </w:p>
    <w:p>
      <w:pPr>
        <w:tabs>
          <w:tab w:val="left" w:pos="560"/>
        </w:tabs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Title: Must We Divide History Into Periods?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Author(s): Jacques Le Goff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Publisher: Columbia University Press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Year: 2015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ISBN: 0231173008,9780231173001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Title: The Global Transformation of Time, 1870-1950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Author(s): Vanessa Ogle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Publisher: Harvard University Press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Year: 2015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  <w: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  <w:t>ISBN: 0674286146,9780674286146</w:t>
      </w:r>
    </w:p>
    <w:p>
      <w:pPr>
        <w:rPr>
          <w:rFonts w:ascii="Georgia" w:eastAsia="Georgia" w:hAnsi="STSongti-SC-Regular" w:cs="Georgia"/>
          <w:color w:val="000000"/>
          <w:spacing w:val="0"/>
          <w:kern w:val="0"/>
          <w:sz w:val="28"/>
          <w:szCs w:val="24"/>
        </w:rPr>
      </w:pPr>
    </w:p>
    <w:p>
      <w:pPr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https://www.jstor.org/stable/303209?seq=1#page_scan_tab_contents</w:t>
        </w:r>
      </w:hyperlink>
    </w:p>
    <w:p>
      <w:pPr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500" w:lineRule="atLeast"/>
        <w:rPr>
          <w:rFonts w:ascii="ArialMT" w:eastAsia="ArialMT" w:hAnsi="STSongti-SC-Regular" w:cs="ArialMT"/>
          <w:color w:val="686868"/>
          <w:spacing w:val="0"/>
          <w:kern w:val="0"/>
          <w:sz w:val="28"/>
          <w:szCs w:val="24"/>
          <w:highlight w:val="white"/>
          <w:u w:val="none" w:color="0000E9"/>
        </w:rPr>
      </w:pPr>
      <w:hyperlink r:id="rId4" w:history="1">
        <w:r>
          <w:rPr>
            <w:rFonts w:ascii="ArialMT" w:eastAsia="ArialMT" w:hAnsi="STSongti-SC-Regular" w:cs="ArialMT"/>
            <w:color w:val="FFFFFF"/>
            <w:spacing w:val="0"/>
            <w:kern w:val="0"/>
            <w:sz w:val="28"/>
            <w:szCs w:val="24"/>
            <w:highlight w:val="cyan"/>
            <w:u w:val="none" w:color="0000E9"/>
          </w:rPr>
          <w:t>The Discursive Space of Modern Japan”</w:t>
        </w:r>
      </w:hyperlink>
    </w:p>
    <w:p>
      <w:pP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  <w:u w:val="non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Times-Roman">
    <w:altName w:val="Times Roman"/>
    <w:charset w:val="00"/>
    <w:family w:val="roman"/>
    <w:pitch w:val="default"/>
  </w:font>
  <w:font w:name="LucidaGrande">
    <w:altName w:val="Lucida Grande"/>
    <w:charset w:val="00"/>
    <w:family w:val="auto"/>
    <w:pitch w:val="default"/>
  </w:font>
  <w:font w:name="AppleColorEmoji">
    <w:altName w:val="Apple Color Emoji"/>
    <w:charset w:val="00"/>
    <w:family w:val="auto"/>
    <w:pitch w:val="default"/>
  </w:font>
  <w:font w:name="Monaco">
    <w:charset w:val="00"/>
    <w:family w:val="auto"/>
    <w:pitch w:val="default"/>
  </w:font>
  <w:font w:name="Georgia">
    <w:charset w:val="00"/>
    <w:family w:val="auto"/>
    <w:pitch w:val="default"/>
  </w:font>
  <w:font w:name="ArialM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⁃"/>
      <w:lvlJc w:val="left"/>
      <w:pPr>
        <w:ind w:left="1440" w:hanging="360"/>
      </w:pPr>
    </w:lvl>
    <w:lvl w:ilvl="2">
      <w:start w:val="1"/>
      <w:numFmt w:val="bullet"/>
      <w:lvlText w:val="⁃"/>
      <w:lvlJc w:val="left"/>
      <w:pPr>
        <w:ind w:left="2160" w:hanging="360"/>
      </w:pPr>
    </w:lvl>
    <w:lvl w:ilvl="3">
      <w:start w:val="1"/>
      <w:numFmt w:val="bullet"/>
      <w:lvlText w:val="⁃"/>
      <w:lvlJc w:val="left"/>
      <w:pPr>
        <w:ind w:left="2880" w:hanging="360"/>
      </w:pPr>
    </w:lvl>
    <w:lvl w:ilvl="4">
      <w:start w:val="1"/>
      <w:numFmt w:val="bullet"/>
      <w:lvlText w:val="⁃"/>
      <w:lvlJc w:val="left"/>
      <w:pPr>
        <w:ind w:left="3600" w:hanging="360"/>
      </w:pPr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jstor.org/stable/303209?seq=1#page_scan_tab_contents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