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46"/>
          <w:szCs w:val="24"/>
        </w:rPr>
      </w:pPr>
      <w:r>
        <w:rPr>
          <w:rFonts w:ascii="Palatino-Roman" w:eastAsia="Palatino-Roman" w:hAnsi="Palatino-Roman" w:cs="Palatino-Roman"/>
          <w:color w:val="auto"/>
          <w:sz w:val="46"/>
          <w:szCs w:val="24"/>
        </w:rPr>
        <w:t>17</w:t>
      </w:r>
      <w:r>
        <w:rPr>
          <w:rFonts w:ascii="STSongti-SC-Regular" w:eastAsia="STSongti-SC-Regular" w:hAnsi="Palatino-Roman" w:cs="STSongti-SC-Regular"/>
          <w:color w:val="auto"/>
          <w:sz w:val="46"/>
          <w:szCs w:val="24"/>
        </w:rPr>
        <w:t>世纪末在法国发生的“古今之争”，则是彼时知识界在这一背景下所展开的围绕现代作家与古希腊罗马经典关系的争论。它象征了古典主义美学的衰落【古今之争与17世纪法国古典主义美学之衰落】。</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46"/>
          <w:szCs w:val="24"/>
        </w:rPr>
      </w:pPr>
      <w:r>
        <w:rPr>
          <w:rFonts w:ascii="STSongti-SC-Regular" w:eastAsia="STSongti-SC-Regular" w:hAnsi="Palatino-Roman" w:cs="STSongti-SC-Regular"/>
          <w:color w:val="auto"/>
          <w:sz w:val="46"/>
          <w:szCs w:val="24"/>
        </w:rPr>
        <w:t>而在这场争论中，也能看到上述进步的历史观念的影响——厚今派体现了新兴民族国家知识界的倾向。同时，逐渐勃兴的欧洲各国民族文学，则成为文学史最初书写的主要对象（近代文学批评史，1，28）。因此，可以认为各国作品中民族性格的彰显，是文学的现代性因素之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4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46"/>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