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36"/>
          <w:szCs w:val="24"/>
        </w:rPr>
      </w:pPr>
      <w:r>
        <w:rPr>
          <w:rFonts w:ascii="STSongti-SC-Regular" w:eastAsia="STSongti-SC-Regular" w:hAnsi="STSongti-SC-Regular" w:cs="STSongti-SC-Regular"/>
          <w:color w:val="auto"/>
          <w:sz w:val="36"/>
          <w:szCs w:val="24"/>
        </w:rPr>
        <w:t>汉语史</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36"/>
          <w:szCs w:val="24"/>
        </w:rPr>
      </w:pPr>
      <w:r>
        <w:rPr>
          <w:rFonts w:ascii="STSongti-SC-Regular" w:eastAsia="STSongti-SC-Regular" w:hAnsi="STSongti-SC-Regular" w:cs="STSongti-SC-Regular"/>
          <w:color w:val="auto"/>
          <w:sz w:val="36"/>
          <w:szCs w:val="24"/>
        </w:rPr>
        <w:t>日语史</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36"/>
          <w:szCs w:val="24"/>
        </w:rPr>
      </w:pPr>
      <w:r>
        <w:rPr>
          <w:rFonts w:ascii="Palatino-Roman" w:eastAsia="Palatino-Roman" w:hAnsi="STSongti-SC-Regular" w:cs="Palatino-Roman"/>
          <w:color w:val="auto"/>
          <w:sz w:val="36"/>
          <w:szCs w:val="24"/>
        </w:rPr>
        <w:t>—</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对于以</w:t>
      </w:r>
      <w:r>
        <w:rPr>
          <w:rFonts w:ascii="Palatino-Roman" w:eastAsia="Palatino-Roman" w:hAnsi="STSongti-SC-Regular" w:cs="Palatino-Roman"/>
          <w:color w:val="auto"/>
          <w:sz w:val="36"/>
          <w:szCs w:val="24"/>
        </w:rPr>
        <w:t>“</w:t>
      </w:r>
      <w:r>
        <w:rPr>
          <w:rFonts w:ascii="STSongti-SC-Regular" w:eastAsia="STSongti-SC-Regular" w:hAnsi="STSongti-SC-Regular" w:cs="STSongti-SC-Regular"/>
          <w:color w:val="auto"/>
          <w:sz w:val="36"/>
          <w:szCs w:val="24"/>
        </w:rPr>
        <w:t>近世</w:t>
      </w:r>
      <w:r>
        <w:rPr>
          <w:rFonts w:ascii="Palatino-Roman" w:eastAsia="Palatino-Roman" w:hAnsi="STSongti-SC-Regular" w:cs="Palatino-Roman"/>
          <w:color w:val="auto"/>
          <w:sz w:val="36"/>
          <w:szCs w:val="24"/>
        </w:rPr>
        <w:t>”</w:t>
      </w:r>
      <w:r>
        <w:rPr>
          <w:rFonts w:ascii="STSongti-SC-Regular" w:eastAsia="STSongti-SC-Regular" w:hAnsi="STSongti-SC-Regular" w:cs="STSongti-SC-Regular"/>
          <w:color w:val="auto"/>
          <w:sz w:val="36"/>
          <w:szCs w:val="24"/>
        </w:rPr>
        <w:t>为中心的诸问题的考察，很容易想到从历史理论或文学史研究的角度进行切入。然而，在本文所要做的日本汉诗史研究中，语言学史（包括汉语史，日语史等）方面的观察也是重要的。</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首要原因在于：语言在历史发展中，其音韵，语法等特征也处于动态变化，这一系列的变化既反映在口语，也反映在书面语上。与此一体两面的结构相近，日本汉诗的成立与发展，同时受到中日两国各自语言发展，乃至相互交流的影响。对日本汉诗总体特征的考察，乃至对日本汉诗发展的分期，如果缺少了语言学历史的分析，乃是不可思议的。</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语言和文化认同/文化共同体/文化想象之间的关系？</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对日本汉诗史的书写来说，语言学史发展中较为重要的是两个部分：</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第一是语音。其中，音韵的部分关乎汉诗创作的法度。菅谷军次郎《日本汉诗史》中对各个时期音韵学研究情况和韵书作了详尽的梳理，可见对语言学史中的音韵部分的考察曾切实地影响了日本汉诗史的书写。</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第二是词汇。</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汉诗史的发展和语言发展的关系？</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汉语史和日语史是如何分别影响某个时期的日本汉诗的？</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Songti-SC-Regular">
    <w:altName w:val="Songti SC Regular"/>
    <w:charset w:val="86"/>
    <w:family w:val="auto"/>
    <w:pitch w:val="default"/>
  </w:font>
  <w:font w:name="Palatino-Roman">
    <w:altName w:val="Palatino"/>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STSongti-SC-Regular"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2020-08-21T09:12:10Z</dcterms:created>
  <dcterms:modified xsi:type="dcterms:W3CDTF">2020-08-21T09:12:10Z</dcterms:modified>
</cp:coreProperties>
</file>