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Palatino-Roman" w:eastAsia="Palatino-Roman" w:hAnsi="Palatino-Roman" w:cs="Palatino-Roman"/>
          <w:color w:val="auto"/>
          <w:sz w:val="36"/>
          <w:szCs w:val="24"/>
        </w:rPr>
        <w:t>231:</w:t>
      </w: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江户时代汉文学的勃兴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日本汉文学是儒者的文学。儒学者成为了一种新的职业。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以下原因：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1. 僧侣的堕落，无法维持该阶层在思想和学问上的垄断。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2. 为政者奖励儒学。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3. 江户时代社会稳定，通过研究学问比研究武功、军事要容易取得社会地位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4. 出版业发达。锁国时代通过长崎，输入了很多中国的典籍。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5. 官学和私学发达。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6. 儒者可以进行比较自由的研究，生活较为安定。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264:大日本史的编撰和水户文人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293: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江户时代汉文学是如何影响俳句和川柳的？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469900" cy="44069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 xml:space="preserve"> 松尾芭蕉的俳句 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唐诗选 魏征 古木鸣寒鸟，空山啼夜猿。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此外，芭蕉还爱读杜甫的诗集 古文真宝 等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也读李白、白居易和苏轼的诗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杜牧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Helvetica" w:eastAsia="Helvetica" w:hAnsi="Palatino-Roman" w:cs="Helvetica"/>
          <w:color w:val="auto"/>
          <w:sz w:val="24"/>
          <w:szCs w:val="24"/>
        </w:rPr>
        <w:drawing>
          <wp:inline>
            <wp:extent cx="558800" cy="683260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Palatino-Roman" w:cs="STSongti-SC-Regular"/>
          <w:color w:val="auto"/>
          <w:sz w:val="3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6"/>
          <w:szCs w:val="24"/>
        </w:rPr>
        <w:t>杜牧 早行 垂鞭信马行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