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7A6F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DTC独立站KOL&amp;KOC brief创建指南</w:t>
      </w:r>
    </w:p>
    <w:p w14:paraId="023CA71A">
      <w:pPr>
        <w:rPr>
          <w:rFonts w:hint="eastAsia" w:ascii="微软雅黑" w:hAnsi="微软雅黑" w:eastAsia="微软雅黑" w:cs="微软雅黑"/>
        </w:rPr>
      </w:pPr>
      <w:bookmarkStart w:id="1" w:name="V1Bo-1750238192817"/>
      <w:bookmarkEnd w:id="1"/>
      <w:r>
        <w:rPr>
          <w:rFonts w:hint="eastAsia" w:ascii="微软雅黑" w:hAnsi="微软雅黑" w:eastAsia="微软雅黑" w:cs="微软雅黑"/>
          <w:b/>
          <w:color w:val="FF4F59"/>
          <w:sz w:val="24"/>
        </w:rPr>
        <w:t>KOL/KOC发布brief与普通brief有着明显的不同，它更像是一场紧张刺激的72小时极限挑战，需要在短时间内迅速抓住用户的注意力并促成转化。</w:t>
      </w:r>
    </w:p>
    <w:p w14:paraId="132405A8">
      <w:pPr>
        <w:rPr>
          <w:rFonts w:hint="eastAsia" w:ascii="微软雅黑" w:hAnsi="微软雅黑" w:eastAsia="微软雅黑" w:cs="微软雅黑"/>
        </w:rPr>
      </w:pPr>
      <w:bookmarkStart w:id="2" w:name="wbrX-1750238201217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这就要求品牌方在制定KOL/KOC brief时更加注重时间敏感性、明确性和准确性，同时还要充分考虑隐性成本、创作者的要求以及运营真相的提前告知。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那么，发布brief究竟有哪些独特之处？又该如何制定一份有效的发布brief呢？</w:t>
      </w:r>
      <w:r>
        <w:rPr>
          <w:rFonts w:hint="eastAsia" w:ascii="微软雅黑" w:hAnsi="微软雅黑" w:eastAsia="微软雅黑" w:cs="微软雅黑"/>
          <w:color w:val="000000"/>
          <w:sz w:val="24"/>
        </w:rPr>
        <w:t>接下来的内容将为你一一揭晓。</w:t>
      </w:r>
    </w:p>
    <w:p w14:paraId="5B69E9E5">
      <w:pPr>
        <w:rPr>
          <w:rFonts w:hint="eastAsia" w:ascii="微软雅黑" w:hAnsi="微软雅黑" w:eastAsia="微软雅黑" w:cs="微软雅黑"/>
        </w:rPr>
      </w:pPr>
      <w:bookmarkStart w:id="3" w:name="EkEO-1750238201219"/>
      <w:bookmarkEnd w:id="3"/>
      <w:r>
        <w:rPr>
          <w:rFonts w:hint="eastAsia" w:ascii="微软雅黑" w:hAnsi="微软雅黑" w:eastAsia="微软雅黑" w:cs="微软雅黑"/>
          <w:b/>
          <w:sz w:val="24"/>
        </w:rPr>
        <w:t>一、为什么发布brief与普通b</w:t>
      </w:r>
      <w:bookmarkStart w:id="49" w:name="_GoBack"/>
      <w:bookmarkEnd w:id="49"/>
      <w:r>
        <w:rPr>
          <w:rFonts w:hint="eastAsia" w:ascii="微软雅黑" w:hAnsi="微软雅黑" w:eastAsia="微软雅黑" w:cs="微软雅黑"/>
          <w:b/>
          <w:sz w:val="24"/>
        </w:rPr>
        <w:t>rief不同</w:t>
      </w:r>
    </w:p>
    <w:p w14:paraId="15A54086">
      <w:pPr>
        <w:rPr>
          <w:rFonts w:hint="eastAsia" w:ascii="微软雅黑" w:hAnsi="微软雅黑" w:eastAsia="微软雅黑" w:cs="微软雅黑"/>
        </w:rPr>
      </w:pPr>
      <w:bookmarkStart w:id="4" w:name="vj84-1750238212195"/>
      <w:bookmarkEnd w:id="4"/>
      <w:r>
        <w:rPr>
          <w:rFonts w:hint="eastAsia" w:ascii="微软雅黑" w:hAnsi="微软雅黑" w:eastAsia="微软雅黑" w:cs="微软雅黑"/>
          <w:sz w:val="24"/>
        </w:rPr>
        <w:t>KOL/KOC发布brief与普通brief的不同之处，主要体现在以下几个关键方面：</w:t>
      </w:r>
    </w:p>
    <w:p w14:paraId="33E1A875">
      <w:pPr>
        <w:rPr>
          <w:rFonts w:hint="eastAsia" w:ascii="微软雅黑" w:hAnsi="微软雅黑" w:eastAsia="微软雅黑" w:cs="微软雅黑"/>
        </w:rPr>
      </w:pPr>
      <w:bookmarkStart w:id="5" w:name="eGVE-1750238228055"/>
      <w:bookmarkEnd w:id="5"/>
      <w:r>
        <w:rPr>
          <w:rFonts w:hint="eastAsia" w:ascii="微软雅黑" w:hAnsi="微软雅黑" w:eastAsia="微软雅黑" w:cs="微软雅黑"/>
          <w:b/>
          <w:color w:val="000000"/>
          <w:sz w:val="24"/>
        </w:rPr>
        <w:t>1.时间敏感性</w:t>
      </w:r>
    </w:p>
    <w:p w14:paraId="6AC1AD8B">
      <w:pPr>
        <w:rPr>
          <w:rFonts w:hint="eastAsia" w:ascii="微软雅黑" w:hAnsi="微软雅黑" w:eastAsia="微软雅黑" w:cs="微软雅黑"/>
        </w:rPr>
      </w:pPr>
      <w:bookmarkStart w:id="6" w:name="py8h-1750238228485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发布brief就像一场紧张刺激的72小时极限挑战，库存有限，付费推广需要提前抢位，媒体组合的成败全看首波创作者内容能否在热度消散前成功落地。相比之下，普通brief就像是悠闲的马拉松，时间限制宽松，更注重长期内容规划和品牌建设。</w:t>
      </w:r>
    </w:p>
    <w:p w14:paraId="0DF9CD7E">
      <w:pPr>
        <w:rPr>
          <w:rFonts w:hint="eastAsia" w:ascii="微软雅黑" w:hAnsi="微软雅黑" w:eastAsia="微软雅黑" w:cs="微软雅黑"/>
        </w:rPr>
      </w:pPr>
      <w:bookmarkStart w:id="7" w:name="2zkI-1750238228490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2.明确性和准确性要求更高</w:t>
      </w:r>
    </w:p>
    <w:p w14:paraId="03CB51EB">
      <w:pPr>
        <w:rPr>
          <w:rFonts w:hint="eastAsia" w:ascii="微软雅黑" w:hAnsi="微软雅黑" w:eastAsia="微软雅黑" w:cs="微软雅黑"/>
        </w:rPr>
      </w:pPr>
      <w:bookmarkStart w:id="8" w:name="InoI-1750238228492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发布brief就像一场“细节决定成败”的高精度任务，稍有不明确、缺失或顺序出错，销量损失、像素差距和客服工单的“灾难三连”就会接踵而至。普通brief则轻松许多，像是在创意花园里漫步，偶尔走点弯路也不怕，关键在于享受创意和方向探索的乐趣。</w:t>
      </w:r>
    </w:p>
    <w:p w14:paraId="006003DB">
      <w:pPr>
        <w:rPr>
          <w:rFonts w:hint="eastAsia" w:ascii="微软雅黑" w:hAnsi="微软雅黑" w:eastAsia="微软雅黑" w:cs="微软雅黑"/>
        </w:rPr>
      </w:pPr>
      <w:bookmarkStart w:id="9" w:name="X7RL-1750238228496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3.隐性成本的考量</w:t>
      </w:r>
    </w:p>
    <w:p w14:paraId="4E7DC06F">
      <w:pPr>
        <w:rPr>
          <w:rFonts w:hint="eastAsia" w:ascii="微软雅黑" w:hAnsi="微软雅黑" w:eastAsia="微软雅黑" w:cs="微软雅黑"/>
        </w:rPr>
      </w:pPr>
      <w:bookmarkStart w:id="10" w:name="Gcle-1750238228498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把发布brief当模板的品牌，常在发布会后才发现隐性成本。比如创作者没正确标记，再营销受众少；讨论要点错过紧迫的价值主张转变，转化率受影响；白名单窗口可能在重新协商前就过期。普通brief则主要关注内容创意和质量，较少涉及这些隐性成本。</w:t>
      </w:r>
    </w:p>
    <w:p w14:paraId="1BA0BAF3">
      <w:pPr>
        <w:rPr>
          <w:rFonts w:hint="eastAsia" w:ascii="微软雅黑" w:hAnsi="微软雅黑" w:eastAsia="微软雅黑" w:cs="微软雅黑"/>
        </w:rPr>
      </w:pPr>
      <w:bookmarkStart w:id="11" w:name="8Vk2-1750238228502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4.对创作者的要求更高</w:t>
      </w:r>
    </w:p>
    <w:p w14:paraId="1A8D621E">
      <w:pPr>
        <w:rPr>
          <w:rFonts w:hint="eastAsia" w:ascii="微软雅黑" w:hAnsi="微软雅黑" w:eastAsia="微软雅黑" w:cs="微软雅黑"/>
        </w:rPr>
      </w:pPr>
      <w:bookmarkStart w:id="12" w:name="6Vd9-1750238228504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发布brief要求创作者更专业，特别是那些24小时内能完成从开箱到上传的创作者。他们不想在网站上费力搜索要点，也不希望被束缚限制自发性。普通brief对创作者要求较低，更看重创意和风格。</w:t>
      </w:r>
    </w:p>
    <w:p w14:paraId="6E0C20E0">
      <w:pPr>
        <w:rPr>
          <w:rFonts w:hint="eastAsia" w:ascii="微软雅黑" w:hAnsi="微软雅黑" w:eastAsia="微软雅黑" w:cs="微软雅黑"/>
        </w:rPr>
      </w:pPr>
      <w:bookmarkStart w:id="13" w:name="jPp2-1750238240667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91840"/>
            <wp:effectExtent l="0" t="0" r="9525" b="3810"/>
            <wp:docPr id="1" name="Drawing 0" descr="6544b2d998af0a7a55f4f699e8963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6544b2d998af0a7a55f4f699e8963987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4DCE">
      <w:pPr>
        <w:rPr>
          <w:rFonts w:hint="eastAsia" w:ascii="微软雅黑" w:hAnsi="微软雅黑" w:eastAsia="微软雅黑" w:cs="微软雅黑"/>
        </w:rPr>
      </w:pPr>
      <w:bookmarkStart w:id="14" w:name="gVdG-1750238228506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5.运营真相的提前告知</w:t>
      </w:r>
    </w:p>
    <w:p w14:paraId="798738BB">
      <w:pPr>
        <w:rPr>
          <w:rFonts w:hint="eastAsia" w:ascii="微软雅黑" w:hAnsi="微软雅黑" w:eastAsia="微软雅黑" w:cs="微软雅黑"/>
        </w:rPr>
      </w:pPr>
      <w:bookmarkStart w:id="15" w:name="FxAz-1750238245750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成功的DTC运营者会先告诉创作者交付成果、资产规格和截止日期，再用情绪和灵感吸引他们，这种透明沟通有助于发布brief顺利执行。普通brief通常不需要这么详细沟通，更多靠创作者自主性和创意。</w:t>
      </w:r>
    </w:p>
    <w:p w14:paraId="7DE5CAC4">
      <w:pPr>
        <w:jc w:val="both"/>
        <w:rPr>
          <w:rFonts w:hint="eastAsia" w:ascii="微软雅黑" w:hAnsi="微软雅黑" w:eastAsia="微软雅黑" w:cs="微软雅黑"/>
        </w:rPr>
      </w:pPr>
      <w:bookmarkStart w:id="16" w:name="Hq9H-1750238245752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二、你必须了解的五大要素</w:t>
      </w:r>
    </w:p>
    <w:p w14:paraId="7C30697D">
      <w:pPr>
        <w:rPr>
          <w:rFonts w:hint="eastAsia" w:ascii="微软雅黑" w:hAnsi="微软雅黑" w:eastAsia="微软雅黑" w:cs="微软雅黑"/>
        </w:rPr>
      </w:pPr>
      <w:bookmarkStart w:id="17" w:name="PC5b-1750238260520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以下五大要素就像一个精心设计的“最小可行brief”，能在繁忙的收件箱和混乱的群聊中胜出。它们能压缩发布时间，保护品牌声音，同时解放创作者，让他们能够通过点击和购物车添加的方式，为用户提供他们所期待的真实内容。</w:t>
      </w:r>
    </w:p>
    <w:p w14:paraId="26F3B967">
      <w:pPr>
        <w:rPr>
          <w:rFonts w:hint="eastAsia" w:ascii="微软雅黑" w:hAnsi="微软雅黑" w:eastAsia="微软雅黑" w:cs="微软雅黑"/>
        </w:rPr>
      </w:pPr>
      <w:bookmarkStart w:id="18" w:name="ur98-1750238260524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1.物流概览面板：一目了然的“物流小助手”</w:t>
      </w:r>
    </w:p>
    <w:p w14:paraId="1B07B200">
      <w:pPr>
        <w:rPr>
          <w:rFonts w:hint="eastAsia" w:ascii="微软雅黑" w:hAnsi="微软雅黑" w:eastAsia="微软雅黑" w:cs="微软雅黑"/>
        </w:rPr>
      </w:pPr>
      <w:bookmarkStart w:id="19" w:name="YYpu-1750238260526"/>
      <w:bookmarkEnd w:id="19"/>
      <w:r>
        <w:rPr>
          <w:rFonts w:hint="eastAsia" w:ascii="微软雅黑" w:hAnsi="微软雅黑" w:eastAsia="微软雅黑" w:cs="微软雅黑"/>
          <w:color w:val="FF4F59"/>
          <w:sz w:val="24"/>
        </w:rPr>
        <w:t>先做个单屏摘要，就像给创作者的“物流小助手”，直接回答他们常问的六个问题：资产数量、格式、帧率/分辨率、到期日、使用权限期限和付款条件。</w:t>
      </w:r>
      <w:r>
        <w:rPr>
          <w:rFonts w:hint="eastAsia" w:ascii="微软雅黑" w:hAnsi="微软雅黑" w:eastAsia="微软雅黑" w:cs="微软雅黑"/>
          <w:color w:val="000000"/>
          <w:sz w:val="24"/>
        </w:rPr>
        <w:t>用表格或标注展示信息，方便创作者在匆忙场景下也能快速看懂。</w:t>
      </w:r>
    </w:p>
    <w:p w14:paraId="7EF28E71">
      <w:pPr>
        <w:rPr>
          <w:rFonts w:hint="eastAsia" w:ascii="微软雅黑" w:hAnsi="微软雅黑" w:eastAsia="微软雅黑" w:cs="微软雅黑"/>
        </w:rPr>
      </w:pPr>
      <w:bookmarkStart w:id="20" w:name="5jiH-1750238260530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提前说明信息的好处有很多，这可以让创作者充分了解，心里有底，团队在后续法务或财务审核交付成果时也能避免“范围偏差”。把付款字段直接和付款触发器绑定，如“内容获批后，通过Bill.com支付15天净额”，这样发票结清时就不会模糊不清了。</w:t>
      </w:r>
    </w:p>
    <w:p w14:paraId="058CAD8C">
      <w:pPr>
        <w:rPr>
          <w:rFonts w:hint="eastAsia" w:ascii="微软雅黑" w:hAnsi="微软雅黑" w:eastAsia="微软雅黑" w:cs="微软雅黑"/>
        </w:rPr>
      </w:pPr>
      <w:bookmarkStart w:id="21" w:name="hflj-1750238260639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62505"/>
            <wp:effectExtent l="0" t="0" r="9525" b="444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C0F4">
      <w:pPr>
        <w:rPr>
          <w:rFonts w:hint="eastAsia" w:ascii="微软雅黑" w:hAnsi="微软雅黑" w:eastAsia="微软雅黑" w:cs="微软雅黑"/>
        </w:rPr>
      </w:pPr>
      <w:bookmarkStart w:id="22" w:name="m3Sd-1750238260539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2.内容配方与参考库：创意“配方”+灵感“调味料”</w:t>
      </w:r>
    </w:p>
    <w:p w14:paraId="10BCC72E">
      <w:pPr>
        <w:rPr>
          <w:rFonts w:hint="eastAsia" w:ascii="微软雅黑" w:hAnsi="微软雅黑" w:eastAsia="微软雅黑" w:cs="微软雅黑"/>
        </w:rPr>
      </w:pPr>
      <w:bookmarkStart w:id="23" w:name="SsdF-1750238260541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扔掉繁琐的文字说明，换成模块化的“配方”：</w:t>
      </w:r>
      <w:r>
        <w:rPr>
          <w:rFonts w:hint="eastAsia" w:ascii="微软雅黑" w:hAnsi="微软雅黑" w:eastAsia="微软雅黑" w:cs="微软雅黑"/>
          <w:color w:val="FF4F59"/>
          <w:sz w:val="24"/>
        </w:rPr>
        <w:t>钩子→证明→效益→CTA</w:t>
      </w:r>
      <w:r>
        <w:rPr>
          <w:rFonts w:hint="eastAsia" w:ascii="微软雅黑" w:hAnsi="微软雅黑" w:eastAsia="微软雅黑" w:cs="微软雅黑"/>
          <w:color w:val="000000"/>
          <w:sz w:val="24"/>
        </w:rPr>
        <w:t>。再加上动态灵感板，像给创意加“调味料”，比如前戏、TikTok播放列表、元广告库，更新方便且不需要重新生成PDF。</w:t>
      </w:r>
    </w:p>
    <w:p w14:paraId="4B4BA4FF">
      <w:pPr>
        <w:rPr>
          <w:rFonts w:hint="eastAsia" w:ascii="微软雅黑" w:hAnsi="微软雅黑" w:eastAsia="微软雅黑" w:cs="微软雅黑"/>
        </w:rPr>
      </w:pPr>
      <w:bookmarkStart w:id="24" w:name="1JDQ-1750238260545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这样既保留品牌说明，又能让创作者融入自己的声音、幽默或拍摄风格，让内容既有品牌范儿，又有创作者的独特魅力。</w:t>
      </w:r>
    </w:p>
    <w:p w14:paraId="275190AB">
      <w:pPr>
        <w:rPr>
          <w:rFonts w:hint="eastAsia" w:ascii="微软雅黑" w:hAnsi="微软雅黑" w:eastAsia="微软雅黑" w:cs="微软雅黑"/>
        </w:rPr>
      </w:pPr>
      <w:bookmarkStart w:id="25" w:name="XHKJ-1750238260549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3.产品及背景故事简介：创作者的“信息直通车”</w:t>
      </w:r>
    </w:p>
    <w:p w14:paraId="2AABCBE2">
      <w:pPr>
        <w:rPr>
          <w:rFonts w:hint="eastAsia" w:ascii="微软雅黑" w:hAnsi="微软雅黑" w:eastAsia="微软雅黑" w:cs="微软雅黑"/>
        </w:rPr>
      </w:pPr>
      <w:bookmarkStart w:id="26" w:name="ewTY-1750238260552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直接把要点说清楚，就像给创作者开通了一趟“信息直通车”，包括SKU名称、主要成分、主要差异化因素和品牌起源的简短介绍。这样，创作者不需要再花20分钟去谷歌搜索，通过简介就能抓住关键信息。</w:t>
      </w:r>
    </w:p>
    <w:p w14:paraId="499B84CD">
      <w:pPr>
        <w:rPr>
          <w:rFonts w:hint="eastAsia" w:ascii="微软雅黑" w:hAnsi="微软雅黑" w:eastAsia="微软雅黑" w:cs="微软雅黑"/>
        </w:rPr>
      </w:pPr>
      <w:bookmarkStart w:id="27" w:name="WJnc-1750238260556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如果需要，还可以加上发音指南或行业术语解读。这不仅为创作者节省了研究时间，还能确保产品介绍符合规范，让内容既准确又合规。</w:t>
      </w:r>
    </w:p>
    <w:p w14:paraId="4BD65893">
      <w:pPr>
        <w:rPr>
          <w:rFonts w:hint="eastAsia" w:ascii="微软雅黑" w:hAnsi="微软雅黑" w:eastAsia="微软雅黑" w:cs="微软雅黑"/>
        </w:rPr>
      </w:pPr>
      <w:bookmarkStart w:id="28" w:name="Uhey-1750238260560"/>
      <w:bookmarkEnd w:id="28"/>
      <w:r>
        <w:rPr>
          <w:rFonts w:hint="eastAsia" w:ascii="微软雅黑" w:hAnsi="微软雅黑" w:eastAsia="微软雅黑" w:cs="微软雅黑"/>
          <w:b/>
          <w:color w:val="000000"/>
          <w:sz w:val="24"/>
        </w:rPr>
        <w:t>4.时间线秒表：项目进度的“可视化导航”</w:t>
      </w:r>
    </w:p>
    <w:p w14:paraId="6C9DA6C9">
      <w:pPr>
        <w:rPr>
          <w:rFonts w:hint="eastAsia" w:ascii="微软雅黑" w:hAnsi="微软雅黑" w:eastAsia="微软雅黑" w:cs="微软雅黑"/>
        </w:rPr>
      </w:pPr>
      <w:bookmarkStart w:id="29" w:name="deyR-1750238260562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从发布开始，就像有了项目进度的“可视化导航”，记录样品到达、草稿截止、品牌审核、重拍缓冲、上线和白名单开启等关键节点。用甘特图或倒计时呈现，标明依赖关系，比如“跟踪链接上线前，草稿无法获批”。</w:t>
      </w:r>
    </w:p>
    <w:p w14:paraId="29F96250">
      <w:pPr>
        <w:rPr>
          <w:rFonts w:hint="eastAsia" w:ascii="微软雅黑" w:hAnsi="微软雅黑" w:eastAsia="微软雅黑" w:cs="微软雅黑"/>
        </w:rPr>
      </w:pPr>
      <w:bookmarkStart w:id="30" w:name="ZR1h-1750238260566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同时，加入库存补货、新闻稿等内部事件禁用日期，避免创作者因信息不对称在网站维护期丢失内容。共享的Notion日历链接实时同步，这就不需要再通过邮件发送电子表格，方便高效。</w:t>
      </w:r>
    </w:p>
    <w:p w14:paraId="65341B95">
      <w:pPr>
        <w:rPr>
          <w:rFonts w:hint="eastAsia" w:ascii="微软雅黑" w:hAnsi="微软雅黑" w:eastAsia="微软雅黑" w:cs="微软雅黑"/>
        </w:rPr>
      </w:pPr>
      <w:bookmarkStart w:id="31" w:name="VIsy-1750238260640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0395"/>
            <wp:effectExtent l="0" t="0" r="9525" b="190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6A09">
      <w:pPr>
        <w:rPr>
          <w:rFonts w:hint="eastAsia" w:ascii="微软雅黑" w:hAnsi="微软雅黑" w:eastAsia="微软雅黑" w:cs="微软雅黑"/>
        </w:rPr>
      </w:pPr>
      <w:bookmarkStart w:id="32" w:name="5aRk-1750238260575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5.修改与升级政策：清晰的“修改指南”和“升级地图”</w:t>
      </w:r>
    </w:p>
    <w:p w14:paraId="50F5ABD9">
      <w:pPr>
        <w:rPr>
          <w:rFonts w:hint="eastAsia" w:ascii="微软雅黑" w:hAnsi="微软雅黑" w:eastAsia="微软雅黑" w:cs="微软雅黑"/>
        </w:rPr>
      </w:pPr>
      <w:bookmarkStart w:id="33" w:name="vLRe-1750238260577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明确告知创作者修改轮次、响应时间（SLA）和超范围修改费用，就像给他们一份“修改指南”。同时，设置清晰的“升级地图”：品牌项目经理→代理机构客户经理→法务部门，避免创作者半夜联系实习生。提前协商好的营销人员很少支付加急费。</w:t>
      </w:r>
    </w:p>
    <w:p w14:paraId="0C8BA9C0">
      <w:pPr>
        <w:rPr>
          <w:rFonts w:hint="eastAsia" w:ascii="微软雅黑" w:hAnsi="微软雅黑" w:eastAsia="微软雅黑" w:cs="微软雅黑"/>
        </w:rPr>
      </w:pPr>
      <w:bookmarkStart w:id="34" w:name="lI6m-1750238260581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此外，为额外轮次关联预格式化的Stripe或Paypal发票，让流程顺畅又专业，消除“范围蔓延”的困扰。</w:t>
      </w:r>
    </w:p>
    <w:p w14:paraId="5E704893">
      <w:pPr>
        <w:jc w:val="both"/>
        <w:rPr>
          <w:rFonts w:hint="eastAsia" w:ascii="微软雅黑" w:hAnsi="微软雅黑" w:eastAsia="微软雅黑" w:cs="微软雅黑"/>
        </w:rPr>
      </w:pPr>
      <w:bookmarkStart w:id="35" w:name="VE5Q-1750238260587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三、构建动量图：挑逗 → 放下 → 回响</w:t>
      </w:r>
    </w:p>
    <w:p w14:paraId="3E9BDCEA">
      <w:pPr>
        <w:rPr>
          <w:rFonts w:hint="eastAsia" w:ascii="微软雅黑" w:hAnsi="微软雅黑" w:eastAsia="微软雅黑" w:cs="微软雅黑"/>
        </w:rPr>
      </w:pPr>
      <w:bookmarkStart w:id="36" w:name="wqba-1750238260598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利用KOL/KOC发布brief要是没有明确的内容规划，很容易在炒作的高峰之间陷入停滞。不过，“动量图”可以解决这个问题，它通过三个紧密相连的阶段，让整个发布过程变得清晰有序。</w:t>
      </w:r>
    </w:p>
    <w:p w14:paraId="38A66680">
      <w:pPr>
        <w:rPr>
          <w:rFonts w:hint="eastAsia" w:ascii="微软雅黑" w:hAnsi="微软雅黑" w:eastAsia="微软雅黑" w:cs="微软雅黑"/>
        </w:rPr>
      </w:pPr>
      <w:bookmarkStart w:id="37" w:name="AxQC-1750238260602"/>
      <w:bookmarkEnd w:id="37"/>
      <w:r>
        <w:rPr>
          <w:rFonts w:hint="eastAsia" w:ascii="微软雅黑" w:hAnsi="微软雅黑" w:eastAsia="微软雅黑" w:cs="微软雅黑"/>
          <w:b/>
          <w:color w:val="FF4F59"/>
          <w:sz w:val="24"/>
        </w:rPr>
        <w:t>第1阶段 - 预热（T-30至T-3天）</w:t>
      </w:r>
    </w:p>
    <w:p w14:paraId="540BC5DE">
      <w:pPr>
        <w:rPr>
          <w:rFonts w:hint="eastAsia" w:ascii="微软雅黑" w:hAnsi="微软雅黑" w:eastAsia="微软雅黑" w:cs="微软雅黑"/>
        </w:rPr>
      </w:pPr>
      <w:bookmarkStart w:id="38" w:name="ivi8-1750238260604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库存清关后，就可以开始着手激发大家的好奇心。微内容主要用来吸引注意力、建立用户列表，像快拍上的开箱视频、TikTok上的神秘特写，以及利用“错失恐惧症”（FOMO）的电子邮件等待列表。</w:t>
      </w:r>
    </w:p>
    <w:p w14:paraId="47DBB13C">
      <w:pPr>
        <w:rPr>
          <w:rFonts w:hint="eastAsia" w:ascii="微软雅黑" w:hAnsi="微软雅黑" w:eastAsia="微软雅黑" w:cs="微软雅黑"/>
        </w:rPr>
      </w:pPr>
      <w:bookmarkStart w:id="39" w:name="X36s-1750238260608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发布格式相互错开，让每个平台都能把紧迫感传递给下一个平台，</w:t>
      </w:r>
      <w:r>
        <w:rPr>
          <w:rFonts w:hint="eastAsia" w:ascii="微软雅黑" w:hAnsi="微软雅黑" w:eastAsia="微软雅黑" w:cs="微软雅黑"/>
          <w:color w:val="FF4F59"/>
          <w:sz w:val="24"/>
        </w:rPr>
        <w:t>例如TikTok上的“抢先看”会促使Instagram粉丝在Threads上评论“链接”，进而让订阅者发送短信。</w:t>
      </w:r>
    </w:p>
    <w:p w14:paraId="3FEF439A">
      <w:pPr>
        <w:rPr>
          <w:rFonts w:hint="eastAsia" w:ascii="微软雅黑" w:hAnsi="微软雅黑" w:eastAsia="微软雅黑" w:cs="微软雅黑"/>
        </w:rPr>
      </w:pPr>
      <w:bookmarkStart w:id="40" w:name="UvuT-1750238260612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给创作者提供轻量级交付成果，如循环播放的B卷、九秒短视频，这些在一小时内就能完成，因为在这个阶段，速度比精雕细琢更重要。提前给创作者批准两个备用短视频，让他们可以随时做A/B测试，这样你的收件箱也不会被审核请求塞满。</w:t>
      </w:r>
    </w:p>
    <w:p w14:paraId="27883388">
      <w:pPr>
        <w:rPr>
          <w:rFonts w:hint="eastAsia" w:ascii="微软雅黑" w:hAnsi="微软雅黑" w:eastAsia="微软雅黑" w:cs="微软雅黑"/>
        </w:rPr>
      </w:pPr>
      <w:bookmarkStart w:id="41" w:name="Ktbs-1750238260641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4815"/>
            <wp:effectExtent l="0" t="0" r="9525" b="698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8552">
      <w:pPr>
        <w:rPr>
          <w:rFonts w:hint="eastAsia" w:ascii="微软雅黑" w:hAnsi="微软雅黑" w:eastAsia="微软雅黑" w:cs="微软雅黑"/>
        </w:rPr>
      </w:pPr>
      <w:bookmarkStart w:id="42" w:name="woy0-1750238260621"/>
      <w:bookmarkEnd w:id="42"/>
      <w:r>
        <w:rPr>
          <w:rFonts w:hint="eastAsia" w:ascii="微软雅黑" w:hAnsi="微软雅黑" w:eastAsia="微软雅黑" w:cs="微软雅黑"/>
          <w:b/>
          <w:color w:val="FF4F59"/>
          <w:sz w:val="24"/>
        </w:rPr>
        <w:t>第2阶段 - 上线（T-0至T+48小时）</w:t>
      </w:r>
    </w:p>
    <w:p w14:paraId="20454C76">
      <w:pPr>
        <w:rPr>
          <w:rFonts w:hint="eastAsia" w:ascii="微软雅黑" w:hAnsi="微软雅黑" w:eastAsia="微软雅黑" w:cs="微软雅黑"/>
        </w:rPr>
      </w:pPr>
      <w:bookmarkStart w:id="43" w:name="grSL-1750238260623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对于DTC出海品牌，这48小时至关重要。brief需明确发布时间戳，逐步加大付费推广力度和流量。分配48小时后过期的专属折扣码，用稀缺机制驱动推送通知，但不花哨。白名单会在第一个自然帖子上线时切换，在评论热度高时放大社交认同。</w:t>
      </w:r>
    </w:p>
    <w:p w14:paraId="10C2559D">
      <w:pPr>
        <w:rPr>
          <w:rFonts w:hint="eastAsia" w:ascii="微软雅黑" w:hAnsi="微软雅黑" w:eastAsia="微软雅黑" w:cs="微软雅黑"/>
        </w:rPr>
      </w:pPr>
      <w:bookmarkStart w:id="44" w:name="riEV-1750238260627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在幕后，Slack频道（或Notion看板视图）会实时跟踪资产审批，可视化的绿色进度条能清晰地显示创作者是否按计划进行。如果出现紧急状况，比如文件错误，单击升级链接就能派上用场。可不要让Instagram标题里的下载链接卡住，那会直接扼杀收入。</w:t>
      </w:r>
    </w:p>
    <w:p w14:paraId="5E8C8B57">
      <w:pPr>
        <w:rPr>
          <w:rFonts w:hint="eastAsia" w:ascii="微软雅黑" w:hAnsi="微软雅黑" w:eastAsia="微软雅黑" w:cs="微软雅黑"/>
        </w:rPr>
      </w:pPr>
      <w:bookmarkStart w:id="45" w:name="zJw7-1750238260631"/>
      <w:bookmarkEnd w:id="45"/>
      <w:r>
        <w:rPr>
          <w:rFonts w:hint="eastAsia" w:ascii="微软雅黑" w:hAnsi="微软雅黑" w:eastAsia="微软雅黑" w:cs="微软雅黑"/>
          <w:b/>
          <w:color w:val="FF4F59"/>
          <w:sz w:val="24"/>
        </w:rPr>
        <w:t>第3阶段 - 回声（T+3天至T+21天）</w:t>
      </w:r>
    </w:p>
    <w:p w14:paraId="7CC70D04">
      <w:pPr>
        <w:rPr>
          <w:rFonts w:hint="eastAsia" w:ascii="微软雅黑" w:hAnsi="微软雅黑" w:eastAsia="微软雅黑" w:cs="微软雅黑"/>
        </w:rPr>
      </w:pPr>
      <w:bookmarkStart w:id="46" w:name="dPdk-1750238260633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转化高峰会逐渐消退，但编排好“回声”可以让你在漏斗中段的再营销中，再转化25%到40%的剩余购物车。所以，brief要求使用“回声资产”，比如教程、问答、前后轮播，还有日常博客嵌入。</w:t>
      </w:r>
    </w:p>
    <w:p w14:paraId="5256334E">
      <w:pPr>
        <w:rPr>
          <w:rFonts w:hint="eastAsia" w:ascii="微软雅黑" w:hAnsi="微软雅黑" w:eastAsia="微软雅黑" w:cs="微软雅黑"/>
        </w:rPr>
      </w:pPr>
      <w:bookmarkStart w:id="47" w:name="AblO-1750238260638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给每位网红至少分配一个15秒的垂直广告，这些视频可以直接插入TikTok Spark Ads和Meta Advantage+再营销组合中。提前明确使用权期限，并和媒体买家的支出曲线保持一致，这样才能最大化再营销的效果。</w:t>
      </w:r>
    </w:p>
    <w:p w14:paraId="4C9342C5">
      <w:pPr>
        <w:rPr>
          <w:rFonts w:hint="eastAsia" w:ascii="微软雅黑" w:hAnsi="微软雅黑" w:eastAsia="微软雅黑" w:cs="微软雅黑"/>
        </w:rPr>
      </w:pPr>
      <w:bookmarkStart w:id="48" w:name="hVzQ-1750238314728"/>
      <w:bookmarkEnd w:id="48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DC327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2175</Words>
  <Characters>2389</Characters>
  <TotalTime>0</TotalTime>
  <ScaleCrop>false</ScaleCrop>
  <LinksUpToDate>false</LinksUpToDate>
  <CharactersWithSpaces>2399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2025-06-18T09:19:00Z</dcterms:created>
  <dc:creator>Apache POI</dc:creator>
  <cp:lastModifiedBy>小虎牙</cp:lastModifiedBy>
  <dcterms:modified xsi:type="dcterms:W3CDTF">2025-06-18T09:20:03Z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DF1B6E4BFB394881A0425D3AC70C202B_12</vt:lpwstr>
  </property>
</Properties>
</file>