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56B70">
      <w:pPr>
        <w:spacing w:before="240" w:after="240"/>
        <w:jc w:val="center"/>
      </w:pPr>
      <w:r>
        <w:rPr>
          <w:rFonts w:ascii="黑体" w:hAnsi="黑体" w:eastAsia="黑体"/>
          <w:b/>
          <w:sz w:val="32"/>
        </w:rPr>
        <w:t>外部技术限制下中国企业创新网络重构与自主创新能力提升机制</w:t>
      </w:r>
    </w:p>
    <w:p w14:paraId="61B71EC3">
      <w:pPr>
        <w:spacing w:after="240"/>
        <w:jc w:val="center"/>
      </w:pPr>
      <w:r>
        <w:rPr>
          <w:rFonts w:ascii="黑体" w:hAnsi="黑体" w:eastAsia="黑体"/>
          <w:sz w:val="28"/>
        </w:rPr>
        <w:t>——课题论证活页</w:t>
      </w:r>
    </w:p>
    <w:p w14:paraId="206657A3">
      <w:pPr>
        <w:spacing w:before="240" w:after="120"/>
      </w:pPr>
      <w:r>
        <w:rPr>
          <w:rFonts w:ascii="黑体" w:hAnsi="黑体" w:eastAsia="黑体"/>
          <w:b/>
          <w:sz w:val="28"/>
        </w:rPr>
        <w:t>一、选题说明</w:t>
      </w:r>
    </w:p>
    <w:p w14:paraId="6AF032A3">
      <w:pPr>
        <w:ind w:firstLine="420"/>
      </w:pPr>
      <w:r>
        <w:rPr>
          <w:rFonts w:ascii="宋体" w:hAnsi="宋体" w:eastAsia="宋体"/>
          <w:sz w:val="24"/>
        </w:rPr>
        <w:t>本课题拟围绕"外部技术限制下中国企业创新网络重构与自主创新能力提升机制"开展研究。课题以创新网络为核心分析视角，将全球开放创新网络、供应链驱动创新网络与产学研协同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14:paraId="5AFA7095">
      <w:pPr>
        <w:spacing w:before="240" w:after="120"/>
      </w:pPr>
      <w:r>
        <w:rPr>
          <w:rFonts w:ascii="黑体" w:hAnsi="黑体" w:eastAsia="黑体"/>
          <w:b/>
          <w:sz w:val="28"/>
        </w:rPr>
        <w:t>二、选题依据</w:t>
      </w:r>
    </w:p>
    <w:p w14:paraId="7F80885E">
      <w:pPr>
        <w:spacing w:before="120" w:after="60"/>
      </w:pPr>
      <w:r>
        <w:rPr>
          <w:rFonts w:ascii="黑体" w:hAnsi="黑体" w:eastAsia="黑体"/>
          <w:b/>
          <w:sz w:val="26"/>
        </w:rPr>
        <w:t>（一）现实背景</w:t>
      </w:r>
    </w:p>
    <w:p w14:paraId="723B81DB">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14:paraId="4CA32A3C">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全球开放网络吸收多元知识，通过供应链网络实现需求牵引与联合开发，通过产学研网络衔接基础研究与产业化。当外部技术限制切断了部分全球网络连接后，供应链网络与产学研网络能否以及在何种条件下替代和补充受损的创新功能，是亟待回应的理论与现实问题。</w:t>
      </w:r>
    </w:p>
    <w:p w14:paraId="28E39DF3">
      <w:pPr>
        <w:spacing w:before="120" w:after="60"/>
      </w:pPr>
      <w:r>
        <w:rPr>
          <w:rFonts w:ascii="黑体" w:hAnsi="黑体" w:eastAsia="黑体"/>
          <w:b/>
          <w:sz w:val="26"/>
        </w:rPr>
        <w:t>（二）文献梳理</w:t>
      </w:r>
    </w:p>
    <w:p w14:paraId="37095F69">
      <w:pPr>
        <w:ind w:firstLine="420"/>
      </w:pPr>
      <w:r>
        <w:rPr>
          <w:rFonts w:ascii="宋体" w:hAnsi="宋体" w:eastAsia="宋体"/>
          <w:sz w:val="24"/>
        </w:rPr>
        <w:t>本课题涉及四支文献的交叉：创新网络理论、全球开放创新、供应链与产学研协同创新网络，以及技术脱钩与自主创新的关系。</w:t>
      </w:r>
    </w:p>
    <w:p w14:paraId="7E821B0D">
      <w:r>
        <w:rPr>
          <w:rFonts w:ascii="宋体" w:hAnsi="宋体" w:eastAsia="宋体"/>
          <w:b/>
          <w:sz w:val="24"/>
        </w:rPr>
        <w:t>1. 创新网络理论的演进</w:t>
      </w:r>
    </w:p>
    <w:p w14:paraId="7A838FB6">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14:paraId="2757C6C7">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14:paraId="46DE51FA">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w:t>
      </w:r>
    </w:p>
    <w:p w14:paraId="6048C313">
      <w:r>
        <w:rPr>
          <w:rFonts w:ascii="宋体" w:hAnsi="宋体" w:eastAsia="宋体"/>
          <w:b/>
          <w:sz w:val="24"/>
        </w:rPr>
        <w:t>2. 全球开放创新网络</w:t>
      </w:r>
    </w:p>
    <w:p w14:paraId="45D4F3C5">
      <w:pPr>
        <w:ind w:firstLine="420"/>
      </w:pPr>
      <w:r>
        <w:rPr>
          <w:rFonts w:ascii="宋体" w:hAnsi="宋体" w:eastAsia="宋体"/>
          <w:sz w:val="24"/>
        </w:rPr>
        <w:t>开放式创新的起点是一条经验事实：有价值的知识广泛散布于各类组织中，没有任何企业能仅靠内部研发维持长期竞争力（Chesbrough, 2003）。Laursen和Salter（2006）将这条直觉转化为可检验的命题——他们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Sourcing/Acquiring/Revealing/Selling），同时指出文献严重偏向开放的收益端，对成本与风险的讨论不成比例。三篇文献从"为什么开放""开放到什么程度""开放有哪些形式"逐层推进，最终指向一个判断：不存在普适的最优开放度，它随企业消化能力而变化。</w:t>
      </w:r>
    </w:p>
    <w:p w14:paraId="69A65E98">
      <w:pPr>
        <w:ind w:firstLine="420"/>
      </w:pPr>
      <w:r>
        <w:rPr>
          <w:rFonts w:ascii="宋体" w:hAnsi="宋体" w:eastAsia="宋体"/>
          <w:sz w:val="24"/>
        </w:rPr>
        <w:t>中国企业国际研发合作的数据为这一判断提供了直接证据。电子设备制造业的经验表明，国际研发合作的地域广度与创新绩效之间同样呈倒U型——空间距离、制度距离和协调成本终究会吃掉异质性知识的红利，能走得更远的是那些资金与技术资源更充裕的企业（吴剑峰、杨震宁、邱永辉，2015）。李梅和余天骄（2016）则将关注点从"能合作多广"拉回到"谁能从合作中获益"：研发国际化对中国企业创新的促进效应受社会资源的结构性调节——高管政治联系有助于资源获取而正向调节，国有股权因效率损失而负向调节，制度落后地区的社会资源作用更为突出。两条中国证据合在一起，说明开放收益由企业内部能力与外部制度环境共同决定。</w:t>
      </w:r>
    </w:p>
    <w:p w14:paraId="32C13AE6">
      <w:pPr>
        <w:ind w:firstLine="420"/>
      </w:pPr>
      <w:r>
        <w:rPr>
          <w:rFonts w:ascii="宋体" w:hAnsi="宋体" w:eastAsia="宋体"/>
          <w:sz w:val="24"/>
        </w:rPr>
        <w:t>但上述文献共享一个未加审视的前提：开放度是企业可以自主权衡的策略参数。2018年以来美国实体清单的持续扩大改变了这个前提——出口管制使得部分网络连接不是被企业"优化掉"，而是被政治力量"切断掉"。开放度不再是管理变量，而是外生约束。这种非自愿、结构性的网络断裂如何改变企业的创新行为与合作策略，是目前文献中最显著的缺口。</w:t>
      </w:r>
    </w:p>
    <w:p w14:paraId="149E14F5">
      <w:r>
        <w:rPr>
          <w:rFonts w:ascii="宋体" w:hAnsi="宋体" w:eastAsia="宋体"/>
          <w:b/>
          <w:sz w:val="24"/>
        </w:rPr>
        <w:t>3. 供应链驱动创新网络与产学研协同创新网络</w:t>
      </w:r>
    </w:p>
    <w:p w14:paraId="28B1A288">
      <w:pPr>
        <w:ind w:firstLine="420"/>
      </w:pPr>
      <w:r>
        <w:rPr>
          <w:rFonts w:ascii="宋体" w:hAnsi="宋体" w:eastAsia="宋体"/>
          <w:sz w:val="24"/>
        </w:rPr>
        <w:t>全球开放网络是企业主动跨越边界的知识搜寻，而供应链网络和产学研网络嵌入在已有的交易关系与制度安排之中，它们的创新功能是被"激活"出来的，运行逻辑与开放网络有根本区别。</w:t>
      </w:r>
    </w:p>
    <w:p w14:paraId="7EFA1DDE">
      <w:pPr>
        <w:ind w:firstLine="420"/>
      </w:pPr>
      <w:r>
        <w:rPr>
          <w:rFonts w:ascii="宋体" w:hAnsi="宋体" w:eastAsia="宋体"/>
          <w:sz w:val="24"/>
        </w:rPr>
        <w:t>供应链的创新功能来自一个常被忽视的事实：大量技术改进并非诞生于实验室，而是在配套、调试和迭代交付中"用"出来的。Dyer和Nobeoka（2000）对丰田供应商网络的经典研究揭示了这一过程被制度化的可能——供应商协会、自愿学习小组和企业咨询部门协同运作，核心制度设计是将生产知识定义为"网络的财产"而非某家企业的私有物，由此同时绕过了知识共享中的激励不足、搭便车和搜寻成本三重障碍。但丰田模式依赖的是数十年积累的信任与协作惯例。Isaksson、Simeth和Seifert（2016）用美国高科技产业面板数据给出了一个关键的限定条件：买方创新确实正向溢出至供应商，但溢出仅在长期关系中显著，技术邻近性的调节效应反而不成立。在供应链情境下，"知道谁"似乎比"知道什么"更关键。Bellamy、Ghosh和Hora（2014）将分析视角从二元关系拉升至网络整体，发现供应网络的可及性与互联性存在正向交互——企业既要能快速触及网络信息，也要有彼此信任的合作伙伴，吸收能力和伙伴创新质量决定了结构优势能否兑现为实际产出。Azadegan和Dooley（2010）从组织学习风格切入，补充了另一层细致逻辑：制造商与供应商之间的学习风格需要匹配，设计责任高时供应商的探索能力更关键，设计责任低时互补性配对更优。</w:t>
      </w:r>
    </w:p>
    <w:p w14:paraId="30468502">
      <w:pPr>
        <w:ind w:firstLine="420"/>
      </w:pPr>
      <w:r>
        <w:rPr>
          <w:rFonts w:ascii="宋体" w:hAnsi="宋体" w:eastAsia="宋体"/>
          <w:sz w:val="24"/>
        </w:rPr>
        <w:t>产学研网络解决的是另一类问题：将科学知识转化为技术方案。Etzkowitz和Leydesdorff（2000）从制度变迁的角度提出"三重螺旋"——大学、产业与政府从分立走向功能交叠，大学在传统的教学与研究之外承担经济贡献的"第三使命"。Perkmann等（2013）的综述将这一宏大叙事拉回到经验层面，区分了大学—产业关系的两种形态：学术参与（合作研究、咨询、人员流动）和商业化（专利、许可、衍生企业）。他们发现学术参与在规模和影响力上远超商业化，但恰恰是前者受到了更少的学术关注。</w:t>
      </w:r>
    </w:p>
    <w:p w14:paraId="1A97594C">
      <w:pPr>
        <w:ind w:firstLine="420"/>
      </w:pPr>
      <w:r>
        <w:rPr>
          <w:rFonts w:ascii="宋体" w:hAnsi="宋体" w:eastAsia="宋体"/>
          <w:sz w:val="24"/>
        </w:rPr>
        <w:t>在中国情境下，产学研协同面临着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指出，科学知识的公共产品属性决定了基础研究的市场供给天然不足，政府介入具有效率正当性。原长弘和张树满（2019）则从管理操作层面出发，构建了"以企业为主体"的产学研协同框架（战略层—组织层—运营层），将"谁主导协同"的政策争论转化为可操作的管理问题。</w:t>
      </w:r>
    </w:p>
    <w:p w14:paraId="69CFEDE6">
      <w:pPr>
        <w:ind w:firstLine="420"/>
      </w:pPr>
      <w:r>
        <w:rPr>
          <w:rFonts w:ascii="宋体" w:hAnsi="宋体" w:eastAsia="宋体"/>
          <w:sz w:val="24"/>
        </w:rPr>
        <w:t>上述两支文献为理解供应链和产学研各自的创新机制提供了坚实的起点。但它们均在"正常条件"下展开分析——网络是给定的，机制是稳定的。当外部技术限制切断了全球开放网络后，供应链网络和产学研网络所承受的压力和承载的期望同时上升：它们不仅要完成各自原有的创新功能，还被期待补上全球网络受损留下的缺口。这种功能叠加能否发生、在什么条件下发生，是既有文献尚未触及的问题。</w:t>
      </w:r>
    </w:p>
    <w:p w14:paraId="0C80597A">
      <w:r>
        <w:rPr>
          <w:rFonts w:ascii="宋体" w:hAnsi="宋体" w:eastAsia="宋体"/>
          <w:b/>
          <w:sz w:val="24"/>
        </w:rPr>
        <w:t>4. 外部技术限制与企业创新</w:t>
      </w:r>
    </w:p>
    <w:p w14:paraId="19401C30">
      <w:pPr>
        <w:ind w:firstLine="420"/>
      </w:pPr>
      <w:r>
        <w:rPr>
          <w:rFonts w:ascii="宋体" w:hAnsi="宋体" w:eastAsia="宋体"/>
          <w:sz w:val="24"/>
        </w:rPr>
        <w:t>出口管制如何影响企业创新？近期文献给出了两幅并不完全重合的图景。</w:t>
      </w:r>
    </w:p>
    <w:p w14:paraId="06D67660">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14:paraId="565381FD">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14:paraId="537FD46A">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14:paraId="6CABC167">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全球开放、供应链驱动、产学研协同——之间的概念边界没有被认真厘清，它们常常被笼统地归入"开放合作"或"协同创新"的标签下，各自在空间尺度、组织关系和知识转化链上的结构性差异被遮蔽。第二，网络之间的关系——替代、互补、叠加——尚未被作为独立问题加以考察。第三，理论机制、实证识别与政策设计之间衔接松散，缺少一个能系统回答"何种网络组合在何种条件下有利于何种核心技术突破"的分析框架。本课题正是围绕这三个缺口展开的。</w:t>
      </w:r>
    </w:p>
    <w:p w14:paraId="1DCD3881">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14:paraId="709F1346">
      <w:pPr>
        <w:spacing w:before="120" w:after="60"/>
      </w:pPr>
      <w:r>
        <w:rPr>
          <w:rFonts w:ascii="黑体" w:hAnsi="黑体" w:eastAsia="黑体"/>
          <w:b/>
          <w:sz w:val="26"/>
        </w:rPr>
        <w:t>（三）学术价值与应用价值</w:t>
      </w:r>
    </w:p>
    <w:p w14:paraId="63289F3E">
      <w:pPr>
        <w:ind w:firstLine="420"/>
      </w:pPr>
      <w:r>
        <w:rPr>
          <w:rFonts w:ascii="宋体" w:hAnsi="宋体" w:eastAsia="宋体"/>
          <w:sz w:val="24"/>
        </w:rPr>
        <w:t>学术价值在于：其一，将全球开放创新网络、供应链驱动创新网络与产学研协同创新网络纳入统一分析框架，厘清三类网络的概念边界、结构特征与功能差异，推进创新网络理论在"受限开放"情境下的拓展。其二，从网络间互动关系——替代、互补与叠加——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14:paraId="5A2D67CD">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14:paraId="581F00EF">
      <w:pPr>
        <w:spacing w:before="240" w:after="120"/>
      </w:pPr>
      <w:r>
        <w:rPr>
          <w:rFonts w:ascii="黑体" w:hAnsi="黑体" w:eastAsia="黑体"/>
          <w:b/>
          <w:sz w:val="28"/>
        </w:rPr>
        <w:t>三、研究内容</w:t>
      </w:r>
    </w:p>
    <w:p w14:paraId="7E5EEBE2">
      <w:pPr>
        <w:spacing w:before="120" w:after="60"/>
      </w:pPr>
      <w:r>
        <w:rPr>
          <w:rFonts w:ascii="黑体" w:hAnsi="黑体" w:eastAsia="黑体"/>
          <w:b/>
          <w:sz w:val="26"/>
        </w:rPr>
        <w:t>（一）总体框架与目录</w:t>
      </w:r>
    </w:p>
    <w:p w14:paraId="2F044A7C">
      <w:pPr>
        <w:ind w:firstLine="420"/>
      </w:pPr>
      <w:r>
        <w:rPr>
          <w:rFonts w:ascii="宋体" w:hAnsi="宋体" w:eastAsia="宋体"/>
          <w:sz w:val="24"/>
        </w:rPr>
        <w:t>本课题以"冲击—网络重构—突破"为主线，构建三阶段分析框架，下设六章。</w:t>
      </w:r>
    </w:p>
    <w:p w14:paraId="72DD22FA">
      <w:pPr>
        <w:ind w:firstLine="420"/>
      </w:pPr>
      <w:r>
        <w:rPr>
          <w:rFonts w:ascii="宋体" w:hAnsi="宋体" w:eastAsia="宋体"/>
          <w:sz w:val="24"/>
        </w:rPr>
        <w:t>第一章　导论：研究背景、核心概念与文献基础</w:t>
      </w:r>
    </w:p>
    <w:p w14:paraId="39080691">
      <w:pPr>
        <w:ind w:firstLine="420"/>
      </w:pPr>
      <w:r>
        <w:rPr>
          <w:rFonts w:ascii="宋体" w:hAnsi="宋体" w:eastAsia="宋体"/>
          <w:sz w:val="24"/>
        </w:rPr>
        <w:t>第二章　外部技术限制冲击的刻画：实体清单演变的特征事实、冲击的范围与网络扩散格局</w:t>
      </w:r>
    </w:p>
    <w:p w14:paraId="3914D843">
      <w:pPr>
        <w:ind w:firstLine="420"/>
      </w:pPr>
      <w:r>
        <w:rPr>
          <w:rFonts w:ascii="宋体" w:hAnsi="宋体" w:eastAsia="宋体"/>
          <w:sz w:val="24"/>
        </w:rPr>
        <w:t>第三章　全球开放创新网络的重构：方向性转移与深度替代</w:t>
      </w:r>
    </w:p>
    <w:p w14:paraId="7A053B43">
      <w:pPr>
        <w:ind w:firstLine="420"/>
      </w:pPr>
      <w:r>
        <w:rPr>
          <w:rFonts w:ascii="宋体" w:hAnsi="宋体" w:eastAsia="宋体"/>
          <w:sz w:val="24"/>
        </w:rPr>
        <w:t>第四章　供应链驱动创新网络的重构：关系升级与需求拉动</w:t>
      </w:r>
    </w:p>
    <w:p w14:paraId="4A8B203E">
      <w:pPr>
        <w:ind w:firstLine="420"/>
      </w:pPr>
      <w:r>
        <w:rPr>
          <w:rFonts w:ascii="宋体" w:hAnsi="宋体" w:eastAsia="宋体"/>
          <w:sz w:val="24"/>
        </w:rPr>
        <w:t>第五章　产学研协同创新网络的重构：知识补位与中间转化</w:t>
      </w:r>
    </w:p>
    <w:p w14:paraId="0C9A6EAB">
      <w:pPr>
        <w:ind w:firstLine="420"/>
      </w:pPr>
      <w:r>
        <w:rPr>
          <w:rFonts w:ascii="宋体" w:hAnsi="宋体" w:eastAsia="宋体"/>
          <w:sz w:val="24"/>
        </w:rPr>
        <w:t>第六章　三类网络的互动关系与核心技术突破：网络匹配、替代与叠加的检验与政策含义</w:t>
      </w:r>
    </w:p>
    <w:p w14:paraId="49597BDB">
      <w:pPr>
        <w:spacing w:before="120" w:after="60"/>
      </w:pPr>
      <w:r>
        <w:rPr>
          <w:rFonts w:ascii="黑体" w:hAnsi="黑体" w:eastAsia="黑体"/>
          <w:b/>
          <w:sz w:val="26"/>
        </w:rPr>
        <w:t>（二）研究对象与核心概念</w:t>
      </w:r>
    </w:p>
    <w:p w14:paraId="48D74DC6">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14:paraId="12617A49">
      <w:pPr>
        <w:ind w:firstLine="420"/>
      </w:pPr>
      <w:r>
        <w:rPr>
          <w:rFonts w:ascii="宋体" w:hAnsi="宋体" w:eastAsia="宋体"/>
          <w:sz w:val="24"/>
        </w:rPr>
        <w:t>三张网均以邻接矩阵形式操作化——节点为组织，连接为组织间的创新合作。以下是对每张网的具体界定。其中涉及的节点类型和连接形式是本文为计量分析和实证设计所做的操作化归纳，所依据的经验事实均来自选题依据部分已详述的文献，括号内的引用表示归纳所依托的文献出处。</w:t>
      </w:r>
    </w:p>
    <w:p w14:paraId="6DF89493">
      <w:pPr>
        <w:ind w:firstLine="420"/>
      </w:pPr>
      <w:r>
        <w:rPr>
          <w:rFonts w:ascii="宋体" w:hAnsi="宋体" w:eastAsia="宋体"/>
          <w:b/>
          <w:sz w:val="24"/>
        </w:rPr>
        <w:t>（1）全球开放创新网络。</w:t>
      </w:r>
      <w:r>
        <w:rPr>
          <w:rFonts w:ascii="宋体" w:hAnsi="宋体" w:eastAsia="宋体"/>
          <w:sz w:val="24"/>
        </w:rPr>
        <w:t xml:space="preserve"> 这张网的基础定义来自Chesbrough（2003）：企业主动管理跨越组织边界的知识流入与流出。本课题取其跨国维度——中国企业通过与外国供应商、客户、竞争者、大学和独立科研机构等主体的合作获取知识。</w:t>
      </w:r>
    </w:p>
    <w:p w14:paraId="61666C40">
      <w:pPr>
        <w:ind w:firstLine="420"/>
      </w:pPr>
      <w:r>
        <w:rPr>
          <w:rFonts w:ascii="宋体" w:hAnsi="宋体" w:eastAsia="宋体"/>
          <w:b/>
          <w:bCs/>
          <w:sz w:val="24"/>
        </w:rPr>
        <w:t>这张网最显著的结构特征是节点分布在不同的主权管辖之下。</w:t>
      </w:r>
      <w:r>
        <w:rPr>
          <w:rFonts w:ascii="宋体" w:hAnsi="宋体" w:eastAsia="宋体"/>
          <w:sz w:val="24"/>
        </w:rPr>
        <w:t>出口管制可以直接切断某些连接，企业对此没有自主控制权——这不是Laursen和Salter（2006）所讨论的"企业主动调整开放度"的问题。再加上地理距离增加协调成本、制度距离增加合规风险、文化距离增加沟通障碍——这些摩擦在国际研发合作的地域广度与创新绩效之间制造了一个倒U型（吴剑峰、杨震宁、邱永辉，201</w:t>
      </w:r>
      <w:bookmarkStart w:id="0" w:name="_GoBack"/>
      <w:bookmarkEnd w:id="0"/>
      <w:r>
        <w:rPr>
          <w:rFonts w:ascii="宋体" w:hAnsi="宋体" w:eastAsia="宋体"/>
          <w:sz w:val="24"/>
        </w:rPr>
        <w:t>5）。所以这张网本身就是三张网里最脆的。</w:t>
      </w:r>
    </w:p>
    <w:p w14:paraId="02378C4A">
      <w:pPr>
        <w:ind w:firstLine="420"/>
      </w:pPr>
      <w:r>
        <w:rPr>
          <w:rFonts w:ascii="宋体" w:hAnsi="宋体" w:eastAsia="宋体"/>
          <w:b/>
          <w:bCs/>
          <w:sz w:val="24"/>
        </w:rPr>
        <w:t>连接形式上，Dahlander和Gann（2010）以入向/出向和金钱/非金钱两个维度划分了四类开放类型。</w:t>
      </w:r>
      <w:r>
        <w:rPr>
          <w:rFonts w:ascii="宋体" w:hAnsi="宋体" w:eastAsia="宋体"/>
          <w:sz w:val="24"/>
        </w:rPr>
        <w:t>中国企业的主要连接集中在入向一侧：国际研发合作协议、技术许可、海外研发子公司、跨国联合专利申请和跨国技术并购（吴剑峰等，2015；李梅、余天骄，2016）。此外，海归人才引进和技术人员跨国交流承载的是隐性知识——层次更深但更难从公开数据里直接抓到（Perkmann等，2013意义上的人力流动）。这些非正式连接在计量分析中只能间接处理，需要案例补充。</w:t>
      </w:r>
    </w:p>
    <w:p w14:paraId="474DA095">
      <w:pPr>
        <w:ind w:firstLine="420"/>
      </w:pPr>
      <w:r>
        <w:rPr>
          <w:rFonts w:ascii="宋体" w:hAnsi="宋体" w:eastAsia="宋体"/>
          <w:sz w:val="24"/>
        </w:rPr>
        <w:t>同一张网，不同企业的使用效率差异很大。李梅和余天骄（2016）在信息技术企业中证明了研发国际化的创新效应受社会资源结构性调节——高管政治联系有助于资源获取而正向调节，国有股权因效率损失而负向调节，制度落后地区的社会资源作用更突出。这意味着制裁导致网络断裂后，不同企业的承受力和替代能力不可能一样。吴剑峰等（2015）发现资金和技术资源更充裕的企业能更好地消化异质性知识，这在制裁后同样适用——资源禀赋决定了企业能在多大程度上从替代合作方那里继续获益。</w:t>
      </w:r>
    </w:p>
    <w:p w14:paraId="554626EA">
      <w:pPr>
        <w:ind w:firstLine="420"/>
      </w:pPr>
      <w:r>
        <w:rPr>
          <w:rFonts w:ascii="宋体" w:hAnsi="宋体" w:eastAsia="宋体"/>
          <w:b/>
          <w:sz w:val="24"/>
        </w:rPr>
        <w:t>（2）供应链驱动创新网络。</w:t>
      </w:r>
      <w:r>
        <w:rPr>
          <w:rFonts w:ascii="宋体" w:hAnsi="宋体" w:eastAsia="宋体"/>
          <w:sz w:val="24"/>
        </w:rPr>
        <w:t xml:space="preserve"> 以垂直交易关系为载体的知识传递与创新协同。和全球开放网络的本质区别在于：这张网的知识不来自"买"，而来自"用"——大量技术改进是在配套、调试和迭代交付中磨出来的。</w:t>
      </w:r>
    </w:p>
    <w:p w14:paraId="0ADCD04E">
      <w:pPr>
        <w:ind w:firstLine="420"/>
      </w:pPr>
      <w:r>
        <w:rPr>
          <w:rFonts w:ascii="宋体" w:hAnsi="宋体" w:eastAsia="宋体"/>
          <w:sz w:val="24"/>
        </w:rPr>
        <w:t>Dyer和Nobeoka（2000）对丰田的经典研究提供了理解这张网的核心线索。他们发现供应商协会（促水平交流）、自愿学习小组（促垂直技术转移）和企业咨询部门（提供直接技术援助）三者协同运作，前提是将生产知识定义为"网络的财产"——不只是链主的私产。在这个框架里，节点包括链主企业（有产品定义权和上下游协调权的系统集成商或终端制造商）、一至多级供应商、客户与经销商，以及物流、检测和认证等维持日常运转的服务方。</w:t>
      </w:r>
    </w:p>
    <w:p w14:paraId="49097A3D">
      <w:pPr>
        <w:ind w:firstLine="420"/>
      </w:pPr>
      <w:r>
        <w:rPr>
          <w:rFonts w:ascii="宋体" w:hAnsi="宋体" w:eastAsia="宋体"/>
          <w:sz w:val="24"/>
        </w:rPr>
        <w:t>连接主要以长期供货合同为基座，但创新功能依托的是联合产品开发、供应商技术援助、上下游联合专利和行业标准共建。Isaksson、Simeth和Seifert（2016）用美国高科技产业面板数据给出了一个有分量的限定——买方创新确实正向溢出至供应商，但只在长期关系中显著。技术邻近性的调节效应反而不成立。这说明在供应链里，信任和协作惯例比技术领域的接近程度更能解释知识流动的方向和强度。另一个区别于产学研连接的关键是，这里的知识是制造过程中内生的——参数怎么调、良率怎么提、成本怎么降——本身就是创新，不需要经过从科学原理到技术方案的翻译。</w:t>
      </w:r>
    </w:p>
    <w:p w14:paraId="4286ECE5">
      <w:pPr>
        <w:ind w:firstLine="420"/>
      </w:pPr>
      <w:r>
        <w:rPr>
          <w:rFonts w:ascii="宋体" w:hAnsi="宋体" w:eastAsia="宋体"/>
          <w:sz w:val="24"/>
        </w:rPr>
        <w:t>但从网络结构看，这张网的创新效率不会自动兑现。Bellamy、Ghosh和Hora（2014）发现供应网络的可及性和互联性各自促进创新且有正向交互，但两者的作用都以企业的吸收能力和伙伴创新质量为边界。Azadegan和Dooley（2010）补充了匹配逻辑——制造商与供应商学习风格的搭配效果取决于外包任务的设计责任高低：设计责任高时，供应商的探索能力更关键；设计责任低时，互补性配对更优。综合来看，关系积累的时间长度、网络结构的位置特征和组织学习风格的匹配程度，共同决定了这张网在多大程度上能被激活为创新通道——而不只是物流通道。</w:t>
      </w:r>
    </w:p>
    <w:p w14:paraId="4CE81495">
      <w:pPr>
        <w:ind w:firstLine="420"/>
      </w:pPr>
      <w:r>
        <w:rPr>
          <w:rFonts w:ascii="宋体" w:hAnsi="宋体" w:eastAsia="宋体"/>
          <w:b/>
          <w:sz w:val="24"/>
        </w:rPr>
        <w:t>（3）产学研协同创新网络。</w:t>
      </w:r>
      <w:r>
        <w:rPr>
          <w:rFonts w:ascii="宋体" w:hAnsi="宋体" w:eastAsia="宋体"/>
          <w:sz w:val="24"/>
        </w:rPr>
        <w:t xml:space="preserve"> 这张网做的是另两张网都做不了的事：把大学和科研院所里的科学知识变成企业产线上能用的技术方案。</w:t>
      </w:r>
    </w:p>
    <w:p w14:paraId="0F62E50B">
      <w:pPr>
        <w:ind w:firstLine="420"/>
      </w:pPr>
      <w:r>
        <w:rPr>
          <w:rFonts w:ascii="宋体" w:hAnsi="宋体" w:eastAsia="宋体"/>
          <w:sz w:val="24"/>
        </w:rPr>
        <w:t>Etzkowitz和Leydesdorff（2000）从制度层面提出了三重螺旋——大学、产业和政府从分立走向功能交叠，大学承担教学和研究之外的"第三使命"。Perkmann等（2013）在综述中把这条线索推进了一大步：他们区分了学术参与（合作研究、咨询、人员流动）和商业化（专利、许可、衍生企业），发现前者的知识转移规模和影响力远超后者——但文献和政策的关注度恰好相反。</w:t>
      </w:r>
    </w:p>
    <w:p w14:paraId="65C42BA9">
      <w:pPr>
        <w:ind w:firstLine="420"/>
      </w:pPr>
      <w:r>
        <w:rPr>
          <w:rFonts w:ascii="宋体" w:hAnsi="宋体" w:eastAsia="宋体"/>
          <w:sz w:val="24"/>
        </w:rPr>
        <w:t>落到中国的经验层面，何郁冰（2012）的三协同框架——知识协同（隐性知识与显性知识的双向流动）、组织协同（联合实验室等实体平台）和战略协同（价值创造与利益分配的统一）——提供了一个有用的拆解。其中"组织协同"指向了一类这张网独有的节点：转化中介设施。联合实验室、协同创新中心、中试平台、概念验证中心和技术转移办公室——它们既是连接发生的场所，也是具有独立功能的网络节点。除此之外，节点还包括知识生产方（大学、国立科研机构、重点实验室）、知识应用方（企业研发中心）和制度支持方（政府科技部门、NSFC和行业协会）。洪银兴（2014）论证了最后一方的必要性：科学知识作为公共产品的属性导致了基础研究领域的市场供给不足，政府介入具有效率正当性。</w:t>
      </w:r>
    </w:p>
    <w:p w14:paraId="3542A114">
      <w:pPr>
        <w:ind w:firstLine="420"/>
      </w:pPr>
      <w:r>
        <w:rPr>
          <w:rFonts w:ascii="宋体" w:hAnsi="宋体" w:eastAsia="宋体"/>
          <w:sz w:val="24"/>
        </w:rPr>
        <w:t>连接的类型比前两张网都丰富。合作研究项目、合同研究、联合专利申请、联合实验室实体化运作、技术许可、学术创业和衍生企业、NSFC联合资助项目、联合培养研究生与企业博士后——这些都是可观测的。原长弘和张树满（2019）的企业为主体管理框架为组织这些连接提供了操作方案。但在所有这些连接形式中，有一类效率最高也最难量化——人员双向流动。教授进企业、工程师进实验室、研究生毕业入产业，承载的是隐性知识。Perkmann等（2013）正是因为这一条才得出了学术参与优于商业化的判断。</w:t>
      </w:r>
    </w:p>
    <w:p w14:paraId="5A50C275">
      <w:pPr>
        <w:ind w:firstLine="420"/>
      </w:pPr>
      <w:r>
        <w:rPr>
          <w:rFonts w:ascii="宋体" w:hAnsi="宋体" w:eastAsia="宋体"/>
          <w:sz w:val="24"/>
        </w:rPr>
        <w:t>这张网的阿喀琉斯之踵在中间转化环节。何郁冰（2012）的三协同框架已经暗示了这一点：三个维度是串联关系，任何一环的薄弱都会拖累整体。过去这道串联上的薄弱被全球技术采购绕过了——企业直接买国外供应商已完成工程化验证的成套方案，产学研网络长期以辅助通道运转。外部技术限制关上了绕行路线，薄弱环节直接暴露为瓶颈。另一个麻烦是Perkmann等（2013）揭示的数据偏差——最有效的通道（人员流动）恰恰是最难用公开数据观测的。如果只看联合专利数量，大概率会系统性高估产学研合作的实际效果。</w:t>
      </w:r>
    </w:p>
    <w:p w14:paraId="4ED10A05">
      <w:pPr>
        <w:ind w:firstLine="420"/>
      </w:pP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14:paraId="2B6A5874">
      <w:pPr>
        <w:ind w:firstLine="420"/>
      </w:pP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14:paraId="166F2A48">
      <w:pPr>
        <w:spacing w:before="120" w:after="60"/>
      </w:pPr>
      <w:r>
        <w:rPr>
          <w:rFonts w:ascii="黑体" w:hAnsi="黑体" w:eastAsia="黑体"/>
          <w:b/>
          <w:sz w:val="26"/>
        </w:rPr>
        <w:t>（三）三类网络的基本逻辑</w:t>
      </w:r>
    </w:p>
    <w:p w14:paraId="4DA918E3">
      <w:pPr>
        <w:ind w:firstLine="420"/>
      </w:pPr>
      <w:r>
        <w:rPr>
          <w:rFonts w:ascii="宋体" w:hAnsi="宋体" w:eastAsia="宋体"/>
          <w:sz w:val="24"/>
        </w:rPr>
        <w:t>选取三类网络作为分析对象，并非出于分类的便利，而是因为三者各自触及了中国企业创新面临的一个基础性环节。</w:t>
      </w:r>
    </w:p>
    <w:p w14:paraId="504156AB">
      <w:pPr>
        <w:ind w:firstLine="420"/>
      </w:pPr>
      <w:r>
        <w:rPr>
          <w:rFonts w:ascii="宋体" w:hAnsi="宋体" w:eastAsia="宋体"/>
          <w:sz w:val="24"/>
        </w:rPr>
        <w:t>全球开放创新网络触及的是</w:t>
      </w:r>
      <w:r>
        <w:rPr>
          <w:rFonts w:ascii="宋体" w:hAnsi="宋体" w:eastAsia="宋体"/>
          <w:b/>
          <w:sz w:val="24"/>
        </w:rPr>
        <w:t>知识来源问题</w:t>
      </w:r>
      <w:r>
        <w:rPr>
          <w:rFonts w:ascii="宋体" w:hAnsi="宋体" w:eastAsia="宋体"/>
          <w:sz w:val="24"/>
        </w:rPr>
        <w:t>。过去三十年，中国企业技术能力积累主要循"引进—消化—吸收—再创新"路径展开，而这条路径的载体正是全球开放创新网络——不仅包括设备与专利的采购，更关键的是通过合资经营、代工配套、逆向工程、海外研发中心与跨国人才流动获取的隐性知识。但这一通道的效率因企业能力而异：国际研发合作地域广度的收益受企业资源禀赋调节，资金与技术资源充裕的企业能更好地消化跨越国界的异质性知识（吴剑峰等，2015），这意味着不同能力的企业在面对网络断裂时的承受力存在显著差异。</w:t>
      </w:r>
    </w:p>
    <w:p w14:paraId="6E1BCEA1">
      <w:pPr>
        <w:ind w:firstLine="420"/>
      </w:pPr>
      <w:r>
        <w:rPr>
          <w:rFonts w:ascii="宋体" w:hAnsi="宋体" w:eastAsia="宋体"/>
          <w:sz w:val="24"/>
        </w:rPr>
        <w:t>供应链驱动创新网络触及的是</w:t>
      </w:r>
      <w:r>
        <w:rPr>
          <w:rFonts w:ascii="宋体" w:hAnsi="宋体" w:eastAsia="宋体"/>
          <w:b/>
          <w:sz w:val="24"/>
        </w:rPr>
        <w:t>知识转化问题</w:t>
      </w:r>
      <w:r>
        <w:rPr>
          <w:rFonts w:ascii="宋体" w:hAnsi="宋体" w:eastAsia="宋体"/>
          <w:sz w:val="24"/>
        </w:rPr>
        <w:t>。中国制造业体量巨大、门类齐全，企业高度嵌入国内供应网络。在电子、汽车、装备等行业，供应链早已超越单纯的买卖关系——下游企业提参数、定标准、给测试机会，上游企业据此改进设计、迭代工艺。丰田的实践表明，当一家核心企业有意识地将生产知识定义为"网络的财产"并通过供应商协会、学习小组与咨询部门等制度化安排加以扩散时，供应链可以成为极其高效的知识共享系统（Dyer &amp; Nobeoka, 2000）。但丰田模式的关键不在制度形式本身，而在于长期关系所积累的信任与知识交换密度——这正是Isaksson等（2016）发现供应链知识溢出仅在长期关系中显著的深层原因。当外部技术来源被切断后，供应网络的创新功能能否被系统性激活，取决于链主企业是否有意愿和能力将普通交易关系升级为创新协同关系。</w:t>
      </w:r>
    </w:p>
    <w:p w14:paraId="62D607D3">
      <w:pPr>
        <w:ind w:firstLine="420"/>
      </w:pPr>
      <w:r>
        <w:rPr>
          <w:rFonts w:ascii="宋体" w:hAnsi="宋体" w:eastAsia="宋体"/>
          <w:sz w:val="24"/>
        </w:rPr>
        <w:t>产学研协同创新网络触及的是</w:t>
      </w:r>
      <w:r>
        <w:rPr>
          <w:rFonts w:ascii="宋体" w:hAnsi="宋体" w:eastAsia="宋体"/>
          <w:b/>
          <w:sz w:val="24"/>
        </w:rPr>
        <w:t>知识生产问题</w:t>
      </w:r>
      <w:r>
        <w:rPr>
          <w:rFonts w:ascii="宋体" w:hAnsi="宋体" w:eastAsia="宋体"/>
          <w:sz w:val="24"/>
        </w:rPr>
        <w:t>。中国科技体制长期存在科学与产业之间的衔接障碍——高校与科研院所的成果大量停留在论文与实验室原型阶段，难以直接转化为企业可用的技术方案。这一障碍的根源在于协同链条上多个环节的薄弱：知识协同、组织协同与战略协同三个维度中任何一环的断裂都会拖累整体效果（何郁冰，2012）。而科学知识作为公共产品的属性，又决定了基础研究领域存在固有的市场供给不足，使得政府介入成为必要条件（洪银兴，2014）。过去，这一问题被全球技术采购所掩盖——企业直接从国外购买已完成工程化的技术方案，绕过了国内产学研链条。外部限制使这条捷径难以继续，产学研网络在客观上从"辅助通道"向"关键通道"转变。</w:t>
      </w:r>
    </w:p>
    <w:p w14:paraId="41020C77">
      <w:pPr>
        <w:ind w:firstLine="420"/>
      </w:pPr>
      <w:r>
        <w:rPr>
          <w:rFonts w:ascii="宋体" w:hAnsi="宋体" w:eastAsia="宋体"/>
          <w:sz w:val="24"/>
        </w:rPr>
        <w:t>本文据此提出分析框架的核心逻辑：在正常条件下，三类网络分别承担知识来源、知识转化与知识生产的功能，网络之间的空隙可依靠全球采购填补。外部技术限制切断了全球开放网络的部分连接后，该网络的知识来源功能被削弱，供应链网络与产学研网络需要承担额外的替代性功能。但替代能否发生、效果如何，取决于网络自身的结构条件、核心企业的能力特征，以及网络配置与技术问题类型之间的匹配程度。</w:t>
      </w:r>
    </w:p>
    <w:p w14:paraId="3F977FDE">
      <w:pPr>
        <w:spacing w:before="120" w:after="60"/>
      </w:pPr>
      <w:r>
        <w:rPr>
          <w:rFonts w:ascii="黑体" w:hAnsi="黑体" w:eastAsia="黑体"/>
          <w:b/>
          <w:sz w:val="26"/>
        </w:rPr>
        <w:t>（四）三个核心假说</w:t>
      </w:r>
    </w:p>
    <w:p w14:paraId="7BBEE751">
      <w:pPr>
        <w:ind w:firstLine="420"/>
      </w:pP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14:paraId="1942D7D4">
      <w:pPr>
        <w:ind w:firstLine="420"/>
      </w:pPr>
      <w:r>
        <w:rPr>
          <w:rFonts w:ascii="宋体" w:hAnsi="宋体" w:eastAsia="宋体"/>
          <w:b/>
          <w:sz w:val="24"/>
        </w:rPr>
        <w:t>假说二：网络替代假说。</w:t>
      </w:r>
      <w:r>
        <w:rPr>
          <w:rFonts w:ascii="宋体" w:hAnsi="宋体" w:eastAsia="宋体"/>
          <w:sz w:val="24"/>
        </w:rPr>
        <w:t>外部技术限制冲击下，全球开放网络受损的功能能否被供应链网络和产学研网络部分接管？替代的发生需要条件。供应链网络方面，知识溢出仅在长期合作关系中显著（Isaksson等，2016），这意味着能在制裁后快速从买卖关系切换为联合攻关的，主要是那些已经积累了互信和协作惯例的供应商。产学研网络方面，联合实验室、中试平台、概念验证中心等中间转化设施是把大学的科学知识翻译为企业可用技术方案的关键设施（何郁冰，2012；Perkmann等，2013），缺少这些"翻译"环节，替代就停留在纸面上。不同类型的缺口对替代路径也有选择：供应链网络对卡脖子攻关型缺口的替代效率最高，因为工程难题可沿产业链逐级分解；产学研网络对前沿原创型缺口的替代效率最高，因为需要从科学原理出发建立全新技术路线；追赶迭代型缺口则最难被有效替代，因为它依赖持续的竞争性信息输入。</w:t>
      </w:r>
    </w:p>
    <w:p w14:paraId="523433BF">
      <w:pPr>
        <w:ind w:firstLine="420"/>
      </w:pPr>
      <w:r>
        <w:rPr>
          <w:rFonts w:ascii="宋体" w:hAnsi="宋体" w:eastAsia="宋体"/>
          <w:b/>
          <w:sz w:val="24"/>
        </w:rPr>
        <w:t>假说三：网络叠加假说。</w:t>
      </w:r>
      <w:r>
        <w:rPr>
          <w:rFonts w:ascii="宋体" w:hAnsi="宋体" w:eastAsia="宋体"/>
          <w:sz w:val="24"/>
        </w:rPr>
        <w:t>三类网络并非各自独立运行。Powell等（1996）在生物技术产业中观察到创新实际发生在组织间网络之中，Etzkowitz和Leydesdorff（2000）以三重螺旋描述了大学—产业—政府的功能交叠。但这些研究或者聚焦于单一网络类型内部，或者停留在宏观制度层面，并未将不同类型的组织间网络之间的关系作为独立问题提出。本文认为，当产学研网络提供有效的基础知识、供应链网络具备承接能力、全球网络维持信息通路时，交叉地带会出现超越三者简单加总的非线性放大；而当某一网络功能缺失时，放大就退化为脱节。叠加效应的形态同样因技术问题类型而异：前沿原创需要产学研与全球网络的叠加（基础研究跟进前沿），卡脖子攻关需要供应链与产学研的叠加（工程协同加知识补位），追赶迭代需要全球网络与供应链的叠加（竞争学习加制造转化）。</w:t>
      </w:r>
    </w:p>
    <w:p w14:paraId="68E05C96">
      <w:pPr>
        <w:spacing w:before="120" w:after="60"/>
      </w:pPr>
      <w:r>
        <w:rPr>
          <w:rFonts w:ascii="黑体" w:hAnsi="黑体" w:eastAsia="黑体"/>
          <w:b/>
          <w:sz w:val="26"/>
        </w:rPr>
        <w:t>（五）各章核心机制与检验策略</w:t>
      </w:r>
    </w:p>
    <w:p w14:paraId="3F2AB2AB">
      <w:pPr>
        <w:ind w:firstLine="420"/>
      </w:pPr>
      <w:r>
        <w:rPr>
          <w:rFonts w:ascii="宋体" w:hAnsi="宋体" w:eastAsia="宋体"/>
          <w:sz w:val="24"/>
        </w:rPr>
        <w:t>三个假说回答的是"网络之间什么关系"以及"何种配置最有效"的问题。检验假说之前，需要先厘清每张网在冲击下发生了什么。第三章至第五章按上述三张网展开，每章追踪两个核心重构现象。这两个现象本身不预设方向——方向取决于条件。条件正是三个假说试图捕捉的：匹配假说回答了"技术类型决定了哪种网络配置最有效"，替代假说回答了"替代发生的前提"，叠加假说回答了"网络交叉地带何时出现非线性放大"。三个假说合在一起，为判断同一个重构现象在什么条件下往哪个方向走提供了分析框架。</w:t>
      </w:r>
    </w:p>
    <w:p w14:paraId="117D66F7">
      <w:pPr>
        <w:spacing w:before="60" w:after="60"/>
      </w:pPr>
      <w:r>
        <w:rPr>
          <w:rFonts w:ascii="黑体" w:hAnsi="黑体" w:eastAsia="黑体"/>
          <w:b/>
          <w:sz w:val="24"/>
        </w:rPr>
        <w:t>第三章：全球开放创新网络——方向性转移与深度替代</w:t>
      </w:r>
    </w:p>
    <w:p w14:paraId="4344CB26">
      <w:pPr>
        <w:ind w:firstLine="420"/>
      </w:pPr>
      <w:r>
        <w:rPr>
          <w:rFonts w:ascii="宋体" w:hAnsi="宋体" w:eastAsia="宋体"/>
          <w:sz w:val="24"/>
        </w:rPr>
        <w:t>全球开放创新网络是三类网络中直接承受外部冲击的对象。出口管制切断了企业与特定国家主体之间的部分连接后，网络不只是在"缩小"——它内部发生了结构性的重新组织。本章追踪两个最核心的重构现象。</w:t>
      </w:r>
    </w:p>
    <w:p w14:paraId="36B8096C">
      <w:pPr>
        <w:ind w:firstLine="420"/>
      </w:pPr>
      <w:r>
        <w:rPr>
          <w:rFonts w:ascii="宋体" w:hAnsi="宋体" w:eastAsia="宋体"/>
          <w:b/>
          <w:sz w:val="24"/>
        </w:rPr>
        <w:t>现象一：方向性转移。</w:t>
      </w:r>
      <w:r>
        <w:rPr>
          <w:rFonts w:ascii="宋体" w:hAnsi="宋体" w:eastAsia="宋体"/>
          <w:sz w:val="24"/>
        </w:rPr>
        <w:t>制裁后，企业与受影响国家（特别是美国）的合作连接减少，同时启动对替代地区——欧洲、日韩、东盟——的合作搜寻。这个过程本身是中性的。</w:t>
      </w:r>
    </w:p>
    <w:p w14:paraId="09707F39">
      <w:pPr>
        <w:ind w:firstLine="420"/>
      </w:pPr>
      <w:r>
        <w:rPr>
          <w:rFonts w:ascii="宋体" w:hAnsi="宋体" w:eastAsia="宋体"/>
          <w:sz w:val="24"/>
        </w:rPr>
        <w:t>转移成功的一面是找到了实质性的替代知识来源。吴剑峰等（2015）发现了国际研发合作地域广度的创新收益受企业资源禀赋调节——资金和技术资源充裕的企业能更好地消化异质性知识。将这个逻辑平移到制裁情境：转向替代地区后能否维持创新质量，取决于新合作方在相关技术领域的知识储备深度以及企业自身的吸收能力。可检验的含义是：制裁后企业国际联合专利中替代地区合作方的占比上升，且联合专利的后续引用率和实际经济价值不显著低于制裁前与被制裁方的合作水平。</w:t>
      </w:r>
    </w:p>
    <w:p w14:paraId="3CE4C04A">
      <w:pPr>
        <w:ind w:firstLine="420"/>
      </w:pPr>
      <w:r>
        <w:rPr>
          <w:rFonts w:ascii="宋体" w:hAnsi="宋体" w:eastAsia="宋体"/>
          <w:sz w:val="24"/>
        </w:rPr>
        <w:t>转移失败的一面是替代来源不可得。特定领域的核心知识集中于少数国家和机构——以半导体设备和EDA工具为例，全球前五大供应商占据了超过70%的市场份额，而且这些供应商集中在美国、日本和荷兰。转向替代地区搜寻不到同等水平的知识源，方向性转移实质上退化为单纯的连接断裂。可检验的含义是：制裁后替代地区合作方占比虽然上升，但联合专利的技术领域分布与制裁前被切断的技术领域不匹配，专利质量指标（后续引用、权利要求数、专利族规模）显著下降。</w:t>
      </w:r>
    </w:p>
    <w:p w14:paraId="18511AF1">
      <w:pPr>
        <w:ind w:firstLine="420"/>
      </w:pPr>
      <w:r>
        <w:rPr>
          <w:rFonts w:ascii="宋体" w:hAnsi="宋体" w:eastAsia="宋体"/>
          <w:sz w:val="24"/>
        </w:rPr>
        <w:t>检验这一现象的关键在于区分"转出去了"和"转成功了"。计量上用制裁前后企业国际联合专利中不同地区合作方的占比变化做初步度量，再以被切断技术领域的专利质量变化——而非仅仅数量变化——判断转移的实质效果。异质性分析考察哪些行业和企业在转移中更可能成功，这直接联系匹配假说：技术追赶迭代型缺口的企业最依赖全球网络的竞争性信息输入，它们对转移失败的承受力最弱。</w:t>
      </w:r>
    </w:p>
    <w:p w14:paraId="5D367A8D">
      <w:pPr>
        <w:ind w:firstLine="420"/>
      </w:pPr>
      <w:r>
        <w:rPr>
          <w:rFonts w:ascii="宋体" w:hAnsi="宋体" w:eastAsia="宋体"/>
          <w:b/>
          <w:sz w:val="24"/>
        </w:rPr>
        <w:t>现象二：深度替代。</w:t>
      </w:r>
      <w:r>
        <w:rPr>
          <w:rFonts w:ascii="宋体" w:hAnsi="宋体" w:eastAsia="宋体"/>
          <w:sz w:val="24"/>
        </w:rPr>
        <w:t>当横向转移不可行时，企业将原依赖外部获取的知识转化为内部研发的重点方向。Laursen和Salter（2006）讨论了外部搜索深度对创新的影响，但他们的分析是在企业自主选择加深搜索的条件下展开的。制裁情境下，加深搜索不是策略选择而是被迫行为。深度替代同样是中性的——内部研发投入大幅增加这件事本身，既可能意味着真正的自主能力建设，也可能意味着资源在错误方向上的堆积。</w:t>
      </w:r>
    </w:p>
    <w:p w14:paraId="338BC3ED">
      <w:pPr>
        <w:ind w:firstLine="420"/>
      </w:pPr>
      <w:r>
        <w:rPr>
          <w:rFonts w:ascii="宋体" w:hAnsi="宋体" w:eastAsia="宋体"/>
          <w:sz w:val="24"/>
        </w:rPr>
        <w:t>深度替代能否成功，与匹配假说直接相关。如果被切断的技术缺口属于追赶迭代型——技术路线相对明确、差距主要在工程实现——内部研发的纵深推进更可能产生实质性成果。缺口属于前沿原创型则不同：前沿原创依赖多源异构知识的碰撞，纯内部研发的效率天然受限。如果企业恰好具备该领域的技术储备和人才基础，替代可能性更高；如果被切断的是一个此前完全依赖外部采购、内部没有任何积累的领域，短期内大量投入的内部研发更可能变成低质量的专利泡沫。可检验的含义是：制裁后企业在被切断技术领域的自主研发投入增幅和发明专利申请增幅可以很大，但关键要看这些专利的后续引用率和经济转化率是否跟上了数量增长。</w:t>
      </w:r>
    </w:p>
    <w:p w14:paraId="146D2154">
      <w:pPr>
        <w:ind w:firstLine="420"/>
      </w:pPr>
      <w:r>
        <w:rPr>
          <w:rFonts w:ascii="宋体" w:hAnsi="宋体" w:eastAsia="宋体"/>
          <w:sz w:val="24"/>
        </w:rPr>
        <w:t>识别策略。本章以美国实体清单的分批列入为外生冲击，以清单企业及其关联企业为处理组、PSM匹配的未受制裁企业为对照组，构建多时点DID。数据来源包括跨国联合专利申请（PATSTAT与国知局）、上市公司海外子公司与分支机构设立记录（CSMAR与年报文本提取）、技术许可与转让合同数据，以及海关进出口中的高技术产品贸易数据。</w:t>
      </w:r>
    </w:p>
    <w:p w14:paraId="72EF5113">
      <w:pPr>
        <w:ind w:firstLine="420"/>
      </w:pPr>
      <w:r>
        <w:rPr>
          <w:rFonts w:ascii="宋体" w:hAnsi="宋体" w:eastAsia="宋体"/>
          <w:sz w:val="24"/>
        </w:rPr>
        <w:t>本章独特难点在于区分"主动转移"与"被动断裂"——制裁后企业与替代地区合作增加，增加的部分是否构成对被切断连接的实质性替代？因果推断需要将受制裁冲击的技术领域与未受冲击领域做精确的领域—时间匹配。</w:t>
      </w:r>
    </w:p>
    <w:p w14:paraId="663C3D11">
      <w:pPr>
        <w:spacing w:before="60" w:after="60"/>
      </w:pPr>
      <w:r>
        <w:rPr>
          <w:rFonts w:ascii="黑体" w:hAnsi="黑体" w:eastAsia="黑体"/>
          <w:b/>
          <w:sz w:val="24"/>
        </w:rPr>
        <w:t>第四章：供应链驱动创新网络——关系升级与需求拉动</w:t>
      </w:r>
    </w:p>
    <w:p w14:paraId="7748984E">
      <w:pPr>
        <w:ind w:firstLine="420"/>
      </w:pPr>
      <w:r>
        <w:rPr>
          <w:rFonts w:ascii="宋体" w:hAnsi="宋体" w:eastAsia="宋体"/>
          <w:sz w:val="24"/>
        </w:rPr>
        <w:t>供应链网络的创新功能源于一个基本事实：在中国制造业中，大量技术改进是在配套、调试与迭代交付中"用"出来的。外部冲击对供应链网络的作用不同于对全球开放网络——它不是连接的直接受损方，但内部关系因替代需求的涌现而被牵动。本章追踪两个核心重构现象。</w:t>
      </w:r>
    </w:p>
    <w:p w14:paraId="15E5D581">
      <w:pPr>
        <w:ind w:firstLine="420"/>
      </w:pPr>
      <w:r>
        <w:rPr>
          <w:rFonts w:ascii="宋体" w:hAnsi="宋体" w:eastAsia="宋体"/>
          <w:b/>
          <w:sz w:val="24"/>
        </w:rPr>
        <w:t>现象一：关系升级。</w:t>
      </w:r>
      <w:r>
        <w:rPr>
          <w:rFonts w:ascii="宋体" w:hAnsi="宋体" w:eastAsia="宋体"/>
          <w:sz w:val="24"/>
        </w:rPr>
        <w:t>制裁切断了外部技术来源后，链主企业转向国内供应商寻求替代方案，原有的买卖关系被推向联合攻关关系。Dyer和Nobeoka（2000）揭示了丰田通过制度化安排将知识扩散至供应商网络的机制，但中国企业面对的情境有重要区别：丰田花了数十年积累信任和协作惯例，而制裁来得突然。</w:t>
      </w:r>
    </w:p>
    <w:p w14:paraId="4FF65831">
      <w:pPr>
        <w:ind w:firstLine="420"/>
      </w:pPr>
      <w:r>
        <w:rPr>
          <w:rFonts w:ascii="宋体" w:hAnsi="宋体" w:eastAsia="宋体"/>
          <w:sz w:val="24"/>
        </w:rPr>
        <w:t>关系升级可能成功。Isaksson等（2016）的发现——供应链知识溢出仅在长期关系中显著——给出了一个直接线索：与被制裁企业有长期合作历史的供应商，制裁后创新提升的幅度应显著大于关系较短的供应商。这是因为长期关系中已经积累了信任基础和隐性协作惯例，升级的门槛更低。成功的信号包括：链主与供应商之间的联合专利申请增加，供应商自身的技术能力出现了可观测的提升——不仅仅是跟着链主做配套，而是具备了独立的产品开发能力。</w:t>
      </w:r>
    </w:p>
    <w:p w14:paraId="6AA0E4A6">
      <w:pPr>
        <w:ind w:firstLine="420"/>
      </w:pPr>
      <w:r>
        <w:rPr>
          <w:rFonts w:ascii="宋体" w:hAnsi="宋体" w:eastAsia="宋体"/>
          <w:sz w:val="24"/>
        </w:rPr>
        <w:t>关系升级也可能失败。当链主提出的技术要求显著超出供应商现有能力时，升级变为单方面输出——链主投入大量资源辅导供应商，但供应商吸收不了。极端情况下，链主被迫更换供应商，原有的供应关系不仅没有升级反而断裂。失败更可能发生在与链主合作历史较短的供应商身上。可检验的含义是：制裁后新选中供应商的创新提升显著小于长期供应商，且新选中的供应商在短期内的更换率更高。此外，Azadegan和Dooley（2010）的学习风格匹配逻辑提示，关系升级的效果还取决于链主与供应商在学习风格上的匹配程度——这在案例中可以进一步追踪。</w:t>
      </w:r>
    </w:p>
    <w:p w14:paraId="329699A8">
      <w:pPr>
        <w:ind w:firstLine="420"/>
      </w:pPr>
      <w:r>
        <w:rPr>
          <w:rFonts w:ascii="宋体" w:hAnsi="宋体" w:eastAsia="宋体"/>
          <w:sz w:val="24"/>
        </w:rPr>
        <w:t>替代假说在此直接进入检验：制裁冲击×关系持续时间的交乘项是否显著正向影响供应商创新产出。如果交乘项不显著，说明关系积累并未降低升级门槛，替代假说中"替代以长期关系为前提"的判断需要修正。</w:t>
      </w:r>
    </w:p>
    <w:p w14:paraId="1EC16DA0">
      <w:pPr>
        <w:ind w:firstLine="420"/>
      </w:pPr>
      <w:r>
        <w:rPr>
          <w:rFonts w:ascii="宋体" w:hAnsi="宋体" w:eastAsia="宋体"/>
          <w:b/>
          <w:sz w:val="24"/>
        </w:rPr>
        <w:t>现象二：需求拉动。</w:t>
      </w:r>
      <w:r>
        <w:rPr>
          <w:rFonts w:ascii="宋体" w:hAnsi="宋体" w:eastAsia="宋体"/>
          <w:sz w:val="24"/>
        </w:rPr>
        <w:t>制裁后原来从美国进口的零部件供应断裂，国内供应商获得了此前被国际竞争对手占据的市场机会。He和Lyu（2025）在企业集团内部发现了这个效应——被制裁企业的上游关联企业在制裁后创新提升。本文将其扩展至整个国内供应链网络。</w:t>
      </w:r>
    </w:p>
    <w:p w14:paraId="6B25DDFF">
      <w:pPr>
        <w:ind w:firstLine="420"/>
      </w:pPr>
      <w:r>
        <w:rPr>
          <w:rFonts w:ascii="宋体" w:hAnsi="宋体" w:eastAsia="宋体"/>
          <w:sz w:val="24"/>
        </w:rPr>
        <w:t>市场机会的出现是客观的，但哪些供应商能接住这个机会，差异巨大。制裁前就有技术储备的供应商，需求拉动相当于为其前期积累提供了商业化出口——研发投入快速转化为专利和产品，创新指标出现跳升。而研发能力薄弱的供应商面对突然出现的市场需求，既缺技术基础也缺人才储备，短期内补不上——市场机会本身不足以催生创新，甚至可能因为无法满足链主的新标准而被挤出供应链。可检验的方式是事件研究：被制裁企业公布制裁消息前后，其国内供应商的研发投入与专利申请是否出现跳升；进一步区分事先有技术储备和没有技术储备的供应商，两组跳升的幅度差异本身就是需求拉动效应的条件性证据。</w:t>
      </w:r>
    </w:p>
    <w:p w14:paraId="2992A656">
      <w:pPr>
        <w:ind w:firstLine="420"/>
      </w:pPr>
      <w:r>
        <w:rPr>
          <w:rFonts w:ascii="宋体" w:hAnsi="宋体" w:eastAsia="宋体"/>
          <w:sz w:val="24"/>
        </w:rPr>
        <w:t>匹配假说在此提供了一层筛选：需求拉动对卡脖子攻关型缺口最有效，因为这个类型的目标明确、技术路线已知，供应商知道该往哪个方向投入研发。对前沿原创型缺口，需求信息本身不够——链主自己也在摸索原理，供应商更无从知道"该补什么"。</w:t>
      </w:r>
    </w:p>
    <w:p w14:paraId="2C71A24C">
      <w:pPr>
        <w:ind w:firstLine="420"/>
      </w:pPr>
      <w:r>
        <w:rPr>
          <w:rFonts w:ascii="宋体" w:hAnsi="宋体" w:eastAsia="宋体"/>
          <w:sz w:val="24"/>
        </w:rPr>
        <w:t>本章数据来源包括A股上市公司年报中披露的前五大客户与供应商信息、Connexiti与Bloomberg SPLC等全球供应链数据库，以及上下游企业间的联合专利申请。核心识别以DID为基础，关键创新在于将网络结构特征——关系持续时间、供应商网络中心性——作为交乘项引入模型。</w:t>
      </w:r>
    </w:p>
    <w:p w14:paraId="133C4C4C">
      <w:pPr>
        <w:ind w:firstLine="420"/>
      </w:pPr>
      <w:r>
        <w:rPr>
          <w:rFonts w:ascii="宋体" w:hAnsi="宋体" w:eastAsia="宋体"/>
          <w:sz w:val="24"/>
        </w:rPr>
        <w:t>本章有三个独特难点。其一，供应链关系的内生性：链主本就会选择高质量供应商，制裁后供应商创新提升需区分制裁效应和选择效应。本文以供应商更换事件辅助识别：若新选中供应商的创新提升显著小于长期供应商，反向验证"关系积累是替代前提"。其二，替代性创新与突破性创新的区分——产品替代了但技术没升级，和替代过程中实现了技术跃升，政策含义截然不同，需以专利质量与产品性能指标区分。其三，供应商的策略性行为——链主选择供应商和供应商投入研发都可能受到制裁预期的影响——需要在DID框架下引入合适的工具变量。</w:t>
      </w:r>
    </w:p>
    <w:p w14:paraId="77BFBF87">
      <w:pPr>
        <w:spacing w:before="60" w:after="60"/>
      </w:pPr>
      <w:r>
        <w:rPr>
          <w:rFonts w:ascii="黑体" w:hAnsi="黑体" w:eastAsia="黑体"/>
          <w:b/>
          <w:sz w:val="24"/>
        </w:rPr>
        <w:t>第五章：产学研协同创新网络——知识补位与中间转化</w:t>
      </w:r>
    </w:p>
    <w:p w14:paraId="27E188AB">
      <w:pPr>
        <w:ind w:firstLine="420"/>
      </w:pPr>
      <w:r>
        <w:rPr>
          <w:rFonts w:ascii="宋体" w:hAnsi="宋体" w:eastAsia="宋体"/>
          <w:sz w:val="24"/>
        </w:rPr>
        <w:t>产学研网络承担的是另两张网均无法替代的功能：从基础科学原理出发建立原创性技术路径。过去，企业可通过国际技术采购绕过国内产学研的薄弱环节。外部限制使这条捷径不再可靠，产学研网络在客观上从可选项变成了必选项——但变成必选项不等于自动运转得好。本章追踪两个核心重构现象。</w:t>
      </w:r>
    </w:p>
    <w:p w14:paraId="65956B8C">
      <w:pPr>
        <w:ind w:firstLine="420"/>
      </w:pPr>
      <w:r>
        <w:rPr>
          <w:rFonts w:ascii="宋体" w:hAnsi="宋体" w:eastAsia="宋体"/>
          <w:b/>
          <w:sz w:val="24"/>
        </w:rPr>
        <w:t>现象一：知识补位。</w:t>
      </w:r>
      <w:r>
        <w:rPr>
          <w:rFonts w:ascii="宋体" w:hAnsi="宋体" w:eastAsia="宋体"/>
          <w:sz w:val="24"/>
        </w:rPr>
        <w:t>制裁后企业失去全球技术来源，转向国内大学和科研院所寻求替代性知识。最直接的观测指标是制裁前后企业与高校联合专利申请量的变化。</w:t>
      </w:r>
    </w:p>
    <w:p w14:paraId="5FD2D175">
      <w:pPr>
        <w:ind w:firstLine="420"/>
      </w:pPr>
      <w:r>
        <w:rPr>
          <w:rFonts w:ascii="宋体" w:hAnsi="宋体" w:eastAsia="宋体"/>
          <w:sz w:val="24"/>
        </w:rPr>
        <w:t>知识补位可能成功——企业真正从大学那里获得了可以转化为技术方案的知识。Perkmann等（2013）揭示了一个关键区分：学术参与（人员流动、合作研究）的效果远超商业化（专利许可），因为前者承载的是隐性知识。成功的知识补位应该表现为联合专利的领域与被制裁技术缺口直接对应，后续被引和转化情况显著优于制裁前同类合作，企业专利发明人中具有学术背景的比例上升。这构成人才流动作为核心传导渠道的检验——如果制裁后企业新申请专利的发明人学术背景比例没有变化，说明知识补位主要停留在显性知识层面，隐性知识通道未被激活。</w:t>
      </w:r>
    </w:p>
    <w:p w14:paraId="7AA36D66">
      <w:pPr>
        <w:ind w:firstLine="420"/>
      </w:pPr>
      <w:r>
        <w:rPr>
          <w:rFonts w:ascii="宋体" w:hAnsi="宋体" w:eastAsia="宋体"/>
          <w:sz w:val="24"/>
        </w:rPr>
        <w:t>知识补位也可能停留在表面。联合专利申请量上升，但IPC分类与被制裁技术缺口不匹配，或者匹配但后续引用率很低——这说明合作是"挂名"性质的，大学提供了申请量但没提供实质性的知识。背后的原因指向替代假说中的条件：缺少有效的组织协同载体（联合实验室、协同创新中心），大学和企业的合作缺乏制度化的知识交换平台，合作停留在项目制的一次性交易。</w:t>
      </w:r>
    </w:p>
    <w:p w14:paraId="0CB584A2">
      <w:pPr>
        <w:ind w:firstLine="420"/>
      </w:pPr>
      <w:r>
        <w:rPr>
          <w:rFonts w:ascii="宋体" w:hAnsi="宋体" w:eastAsia="宋体"/>
          <w:b/>
          <w:sz w:val="24"/>
        </w:rPr>
        <w:t>现象二：中间转化。</w:t>
      </w:r>
      <w:r>
        <w:rPr>
          <w:rFonts w:ascii="宋体" w:hAnsi="宋体" w:eastAsia="宋体"/>
          <w:sz w:val="24"/>
        </w:rPr>
        <w:t>何郁冰（2012）在三协同框架中把"组织协同"列为独立维度，联合实验室等实体是组织协同的载体。本文据此提出：中间转化设施的建立与否，是产学研合作能否从"挂名"升级为"实质"的关键条件。</w:t>
      </w:r>
    </w:p>
    <w:p w14:paraId="0D735600">
      <w:pPr>
        <w:ind w:firstLine="420"/>
      </w:pPr>
      <w:r>
        <w:rPr>
          <w:rFonts w:ascii="宋体" w:hAnsi="宋体" w:eastAsia="宋体"/>
          <w:sz w:val="24"/>
        </w:rPr>
        <w:t>中间转化运转起来——有联合实验室、有中试平台、有概念验证中心——产学研合作就能实现从实验室原型到可投产技术方案的跨越。何郁冰（2012）的三协同框架暗示，知识协同（隐性知识与显性知识的双向流动）需要组织协同（实体平台）做支撑。有中试平台的配对，合作产出（联合专利的后续转化率、合作项目的产业化成功率）应显著优于没有中试平台的配对。这是一个可检验的假设：制裁后新建立联合实验室的大学—企业配对，其合作产出显著低于制裁前已有联合实验室的配对——因为后者已经积累了制度化的协作经验，前者从零起步需要时间。</w:t>
      </w:r>
    </w:p>
    <w:p w14:paraId="0C53C835">
      <w:pPr>
        <w:ind w:firstLine="420"/>
      </w:pPr>
      <w:r>
        <w:rPr>
          <w:rFonts w:ascii="宋体" w:hAnsi="宋体" w:eastAsia="宋体"/>
          <w:sz w:val="24"/>
        </w:rPr>
        <w:t>中间转化卡住——联合实验室挂牌了但没有实质运转，中试平台建了但没有持续的项目流，概念验证中心缺乏足够的资金和专业人员。这种情况下，产学研合作在纸面上扩大了，但科学知识无法有效"翻译"为企业可用技术方案。合作数量上去了，质量原地踏步。背后的原因可能指向匹配假说：中间转化的瓶颈对前沿原创型突破最为致命，因为这个类型最依赖从基础原理到技术方案的完整翻译链条。卡脖子攻关型和追赶迭代型对中间转化的依赖相对较小——前者可以通过供应链合作绕开一部分，后者可以从已有路线中学习。</w:t>
      </w:r>
    </w:p>
    <w:p w14:paraId="2D9F5187">
      <w:pPr>
        <w:ind w:firstLine="420"/>
      </w:pPr>
      <w:r>
        <w:rPr>
          <w:rFonts w:ascii="宋体" w:hAnsi="宋体" w:eastAsia="宋体"/>
          <w:sz w:val="24"/>
        </w:rPr>
        <w:t>值得注意的是，Perkmann等（2013）揭示的数据偏差——效果最好的学术参与在公开数据中反而最难观测——对本章来说意味着：如果只看联合专利申请数量变化，大概率会系统性高估知识补位的实际效果。本章的实证策略因此需要在数量指标之外，引入质量指标（专利引用、技术领域匹配度、发明人履历）和案例证据（联合实验室的实际运作状态、人才流动的事实信息）。</w:t>
      </w:r>
    </w:p>
    <w:p w14:paraId="361F6F10">
      <w:pPr>
        <w:ind w:firstLine="420"/>
      </w:pPr>
      <w:r>
        <w:rPr>
          <w:rFonts w:ascii="宋体" w:hAnsi="宋体" w:eastAsia="宋体"/>
          <w:sz w:val="24"/>
        </w:rPr>
        <w:t>本章数据来源包括国家知识产权局的联合专利申请、NSFC联合资助项目、上市公司年报与官网披露的联合实验室设立信息，以及企业专利发明人履历数据。识别策略基于实体清单分批列入的外生冲击。一个值得尝试的设计是比较同一所大学与受制裁企业和未受制裁企业的合作差异——若制裁确实改变了需求端，同一大学面对不同类型企业时的合作行为应呈现系统性差别。</w:t>
      </w:r>
    </w:p>
    <w:p w14:paraId="24E2804A">
      <w:pPr>
        <w:ind w:firstLine="420"/>
      </w:pPr>
      <w:r>
        <w:rPr>
          <w:rFonts w:ascii="宋体" w:hAnsi="宋体" w:eastAsia="宋体"/>
          <w:sz w:val="24"/>
        </w:rPr>
        <w:t>本章有两个独特难点。一是产学研合作质量的度量——联合专利数量上升可能仅反映"挂名合作"，需以发明人实际身份、合作成果的后续技术影响等细粒度指标区分。二是滞后期——从开始合作到产生技术成果需要三至五年甚至更长，课题观测窗口未必能覆盖完整周期，需在研究设计中明确说明，并以案例追踪弥补。</w:t>
      </w:r>
    </w:p>
    <w:p w14:paraId="1B984A01">
      <w:pPr>
        <w:spacing w:before="120" w:after="60"/>
      </w:pPr>
      <w:r>
        <w:rPr>
          <w:rFonts w:ascii="黑体" w:hAnsi="黑体" w:eastAsia="黑体"/>
          <w:b/>
          <w:sz w:val="26"/>
        </w:rPr>
        <w:t>（六）研究目标</w:t>
      </w:r>
    </w:p>
    <w:p w14:paraId="7E030284">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网络替代与网络叠加三个核心假说，并据此提出差异化政策路径。具体目标有四。其一，界定三类创新网络的概念边界与功能分工，建立统一分析框架。其二，揭示外部技术限制冲击后网络重构的机制——全球开放网络如何实现方向性转移、供应链网络如何实现功能升级、产学研网络如何完成补位替代，并在此过程中检验三个核心假说。其三，评估网络重构对核心技术突破的实际效果，比较不同网络组合对不同类型技术问题的差异化贡献。其四，在理论与实证基础上提出具有可操作性的政策工具。</w:t>
      </w:r>
    </w:p>
    <w:p w14:paraId="335F8CAC">
      <w:pPr>
        <w:spacing w:before="120" w:after="60"/>
      </w:pPr>
      <w:r>
        <w:rPr>
          <w:rFonts w:ascii="黑体" w:hAnsi="黑体" w:eastAsia="黑体"/>
          <w:b/>
          <w:sz w:val="26"/>
        </w:rPr>
        <w:t>（七）重点难点</w:t>
      </w:r>
    </w:p>
    <w:p w14:paraId="18D02BF5">
      <w:pPr>
        <w:ind w:firstLine="420"/>
      </w:pPr>
      <w:r>
        <w:rPr>
          <w:rFonts w:ascii="宋体" w:hAnsi="宋体" w:eastAsia="宋体"/>
          <w:sz w:val="24"/>
        </w:rPr>
        <w:t>重点有三。其一，构建三类创新网络的统一分析框架，厘清概念边界与功能差异。其二，分析网络重构的机制，检验动态匹配、网络替代与网络叠加三个核心假说。其三，考察网络间互动关系与核心技术突破之间的关联。</w:t>
      </w:r>
    </w:p>
    <w:p w14:paraId="2A4DA69E">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14:paraId="4F1A2FE3">
      <w:pPr>
        <w:spacing w:before="120" w:after="60"/>
      </w:pPr>
      <w:r>
        <w:rPr>
          <w:rFonts w:ascii="黑体" w:hAnsi="黑体" w:eastAsia="黑体"/>
          <w:b/>
          <w:sz w:val="26"/>
        </w:rPr>
        <w:t>（八）研究方法与数据</w:t>
      </w:r>
    </w:p>
    <w:p w14:paraId="3DB53C4A">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14:paraId="6E2DD9EC">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14:paraId="35F485A5">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网络—计量结合的机制检验：将社会网络分析的结构指标纳入DID框架，检验网络结构变化是否构成冲击影响创新的传导渠道。通过交乘项分析检验不同网络之间的互动效应。</w:t>
      </w:r>
    </w:p>
    <w:p w14:paraId="63498B96">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14:paraId="0CE5D19C">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14:paraId="0E7455B0">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14:paraId="52F4ED45">
      <w:pPr>
        <w:spacing w:before="120" w:after="60"/>
      </w:pPr>
      <w:r>
        <w:rPr>
          <w:rFonts w:ascii="黑体" w:hAnsi="黑体" w:eastAsia="黑体"/>
          <w:b/>
          <w:sz w:val="26"/>
        </w:rPr>
        <w:t>（九）研究计划与可行性</w:t>
      </w:r>
    </w:p>
    <w:p w14:paraId="1680A105">
      <w:pPr>
        <w:ind w:firstLine="420"/>
      </w:pPr>
      <w:r>
        <w:rPr>
          <w:rFonts w:ascii="宋体" w:hAnsi="宋体" w:eastAsia="宋体"/>
          <w:sz w:val="24"/>
        </w:rPr>
        <w:t>研究分四个阶段推进，总周期30个月。第一阶段（1至6月）：文献深化研究，理论框架构建，多源数据清洗、匹配与网络构建。第二阶段（7至14月）：利用DID方法识别外部技术限制的创新冲击效应，考察全球开放创新网络的方向性转移与供应链网络的替代性强化，撰写中期成果。第三阶段（15至22月）：考察产学研协同网络的补位性升级与三类网络之间的互动关系，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14:paraId="195AC30B">
      <w:pPr>
        <w:spacing w:before="240" w:after="120"/>
      </w:pPr>
      <w:r>
        <w:rPr>
          <w:rFonts w:ascii="黑体" w:hAnsi="黑体" w:eastAsia="黑体"/>
          <w:b/>
          <w:sz w:val="28"/>
        </w:rPr>
        <w:t>四、创新之处</w:t>
      </w:r>
    </w:p>
    <w:p w14:paraId="41E88F29">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何时叠加，力图推进创新网络理论在复杂技术系统中的拓展。</w:t>
      </w:r>
    </w:p>
    <w:p w14:paraId="63752854">
      <w:pPr>
        <w:ind w:firstLine="420"/>
      </w:pPr>
      <w:r>
        <w:rPr>
          <w:rFonts w:ascii="宋体" w:hAnsi="宋体" w:eastAsia="宋体"/>
          <w:sz w:val="24"/>
        </w:rPr>
        <w:t>在学术观点上，提出动态匹配、网络替代与网络叠加三个递进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存在匹配关系，这构成了理解网络重构效果何以分化的分析前提。网络替代假说明确了替代发生的两个边界条件——供应链上的长期合作积累（Isaksson等，2016）和产学研之间的中间转化设施（何郁冰，2012；Perkmann等，2013），并将He和Lyu（2025）关于企业集团内部创新转移的发现从"集团内"推至"网络间"。网络叠加假说继承了Powell等（1996）和Etzkowitz与Leydesdorff（2000）的核心洞见，但将分析从单一网络内部拉到了不同网络的关系层面，追问交叉地带的非线性放大效应及其失效条件。三个假说形成"匹配前提→替代机制→叠加效应"的递进逻辑链。</w:t>
      </w:r>
    </w:p>
    <w:p w14:paraId="2FEFA45B">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14:paraId="4B18F3A6">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14:paraId="24515559">
      <w:pPr>
        <w:spacing w:before="240" w:after="120"/>
      </w:pPr>
      <w:r>
        <w:rPr>
          <w:rFonts w:ascii="黑体" w:hAnsi="黑体" w:eastAsia="黑体"/>
          <w:b/>
          <w:sz w:val="28"/>
        </w:rPr>
        <w:t>五、预期成果</w:t>
      </w:r>
    </w:p>
    <w:p w14:paraId="2987869C">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14:paraId="594B4661">
      <w:pPr>
        <w:spacing w:before="240" w:after="120"/>
      </w:pPr>
      <w:r>
        <w:rPr>
          <w:rFonts w:ascii="黑体" w:hAnsi="黑体" w:eastAsia="黑体"/>
          <w:b/>
          <w:sz w:val="28"/>
        </w:rPr>
        <w:t>六、参考文献</w:t>
      </w:r>
    </w:p>
    <w:p w14:paraId="66AAE7A7">
      <w:pPr>
        <w:spacing w:before="0" w:after="0"/>
        <w:ind w:firstLine="0"/>
      </w:pPr>
      <w:r>
        <w:rPr>
          <w:rFonts w:ascii="宋体" w:hAnsi="宋体" w:eastAsia="宋体"/>
          <w:sz w:val="21"/>
        </w:rPr>
        <w:t>1. Ahuja, G. (2000). Collaboration Networks, Structural Holes, and Innovation. *Administrative Science Quarterly*, 45(3), 425-455.</w:t>
      </w:r>
    </w:p>
    <w:p w14:paraId="79400196">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14:paraId="206865B2">
      <w:pPr>
        <w:spacing w:before="0" w:after="0"/>
        <w:ind w:firstLine="0"/>
      </w:pPr>
      <w:r>
        <w:rPr>
          <w:rFonts w:ascii="宋体" w:hAnsi="宋体" w:eastAsia="宋体"/>
          <w:sz w:val="21"/>
        </w:rPr>
        <w:t>3. 安同良, 魏婕, 姜舸. (2023). 基于复杂网络的中国企业互联式创新. *中国社会科学*, (10).</w:t>
      </w:r>
    </w:p>
    <w:p w14:paraId="15F90A5E">
      <w:pPr>
        <w:spacing w:before="0" w:after="0"/>
        <w:ind w:firstLine="0"/>
      </w:pPr>
      <w:r>
        <w:rPr>
          <w:rFonts w:ascii="宋体" w:hAnsi="宋体" w:eastAsia="宋体"/>
          <w:sz w:val="21"/>
        </w:rPr>
        <w:t>4. 陈劲, 阳银娟. (2012). 协同创新的理论基础与内涵. *科学学研究*, 30(2), 161-164.</w:t>
      </w:r>
    </w:p>
    <w:p w14:paraId="292C0871">
      <w:pPr>
        <w:spacing w:before="0" w:after="0"/>
        <w:ind w:firstLine="0"/>
      </w:pPr>
      <w:r>
        <w:rPr>
          <w:rFonts w:ascii="宋体" w:hAnsi="宋体" w:eastAsia="宋体"/>
          <w:sz w:val="21"/>
        </w:rPr>
        <w:t>5. Chesbrough, H. W. (2003). *Open Innovation*. Harvard Business School Press.</w:t>
      </w:r>
    </w:p>
    <w:p w14:paraId="6CFCE4CD">
      <w:pPr>
        <w:spacing w:before="0" w:after="0"/>
        <w:ind w:firstLine="0"/>
      </w:pPr>
      <w:r>
        <w:rPr>
          <w:rFonts w:ascii="宋体" w:hAnsi="宋体" w:eastAsia="宋体"/>
          <w:sz w:val="21"/>
        </w:rPr>
        <w:t>6. Laursen, K., &amp; Salter, A. (2006). Open for Innovation. *Strategic Management Journal*, 27(2), 131-150.</w:t>
      </w:r>
    </w:p>
    <w:p w14:paraId="31C0DBD9">
      <w:pPr>
        <w:spacing w:before="0" w:after="0"/>
        <w:ind w:firstLine="0"/>
      </w:pPr>
      <w:r>
        <w:rPr>
          <w:rFonts w:ascii="宋体" w:hAnsi="宋体" w:eastAsia="宋体"/>
          <w:sz w:val="21"/>
        </w:rPr>
        <w:t>7. Dahlander, L., &amp; Gann, D. M. (2010). How Open is Innovation? *Research Policy*, 39(6), 699-709.</w:t>
      </w:r>
    </w:p>
    <w:p w14:paraId="53AA4E05">
      <w:pPr>
        <w:spacing w:before="0" w:after="0"/>
        <w:ind w:firstLine="0"/>
      </w:pPr>
      <w:r>
        <w:rPr>
          <w:rFonts w:ascii="宋体" w:hAnsi="宋体" w:eastAsia="宋体"/>
          <w:sz w:val="21"/>
        </w:rPr>
        <w:t>8. 吴剑峰, 杨震宁, 邱永辉. (2015). 国际研发合作的地域广度、资源禀赋与技术创新绩效. *管理学报*, 12(10).</w:t>
      </w:r>
    </w:p>
    <w:p w14:paraId="5BF0A351">
      <w:pPr>
        <w:spacing w:before="0" w:after="0"/>
        <w:ind w:firstLine="0"/>
      </w:pPr>
      <w:r>
        <w:rPr>
          <w:rFonts w:ascii="宋体" w:hAnsi="宋体" w:eastAsia="宋体"/>
          <w:sz w:val="21"/>
        </w:rPr>
        <w:t>9. 李梅, 余天骄. (2016). 研发国际化是否促进了企业创新. *管理世界*, (11).</w:t>
      </w:r>
    </w:p>
    <w:p w14:paraId="19855EED">
      <w:pPr>
        <w:spacing w:before="0" w:after="0"/>
        <w:ind w:firstLine="0"/>
      </w:pPr>
      <w:r>
        <w:rPr>
          <w:rFonts w:ascii="宋体" w:hAnsi="宋体" w:eastAsia="宋体"/>
          <w:sz w:val="21"/>
        </w:rPr>
        <w:t>10. Dyer, J. H., &amp; Nobeoka, K. (2000). Creating and Managing a High-Performance Knowledge-Sharing Network. *Strategic Management Journal*, 21(3), 345-367.</w:t>
      </w:r>
    </w:p>
    <w:p w14:paraId="1A5EF7B1">
      <w:pPr>
        <w:spacing w:before="0" w:after="0"/>
        <w:ind w:firstLine="0"/>
      </w:pPr>
      <w:r>
        <w:rPr>
          <w:rFonts w:ascii="宋体" w:hAnsi="宋体" w:eastAsia="宋体"/>
          <w:sz w:val="21"/>
        </w:rPr>
        <w:t>11. Isaksson, O. H. D., Simeth, M., &amp; Seifert, R. W. (2016). Knowledge Spillovers in the Supply Chain. *Research Policy*, 45(3), 699-706.</w:t>
      </w:r>
    </w:p>
    <w:p w14:paraId="2EC20FAF">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14:paraId="7486B325">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14:paraId="51C13593">
      <w:pPr>
        <w:spacing w:before="0" w:after="0"/>
        <w:ind w:firstLine="0"/>
      </w:pPr>
      <w:r>
        <w:rPr>
          <w:rFonts w:ascii="宋体" w:hAnsi="宋体" w:eastAsia="宋体"/>
          <w:sz w:val="21"/>
        </w:rPr>
        <w:t>14. Etzkowitz, H., &amp; Leydesdorff, L. (2000). The Dynamics of Innovation: From National Systems to a Triple Helix. *Research Policy*, 29(2), 109-123.</w:t>
      </w:r>
    </w:p>
    <w:p w14:paraId="7DF1541B">
      <w:pPr>
        <w:spacing w:before="0" w:after="0"/>
        <w:ind w:firstLine="0"/>
      </w:pPr>
      <w:r>
        <w:rPr>
          <w:rFonts w:ascii="宋体" w:hAnsi="宋体" w:eastAsia="宋体"/>
          <w:sz w:val="21"/>
        </w:rPr>
        <w:t>15. Perkmann, M., et al. (2013). Academic Engagement and Commercialisation. *Research Policy*, 42(2), 423-442.</w:t>
      </w:r>
    </w:p>
    <w:p w14:paraId="20DFF695">
      <w:pPr>
        <w:spacing w:before="0" w:after="0"/>
        <w:ind w:firstLine="0"/>
      </w:pPr>
      <w:r>
        <w:rPr>
          <w:rFonts w:ascii="宋体" w:hAnsi="宋体" w:eastAsia="宋体"/>
          <w:sz w:val="21"/>
        </w:rPr>
        <w:t>16. 何郁冰. (2012). 产学研协同创新的理论模式. *科学学研究*, 30(2), 165-174.</w:t>
      </w:r>
    </w:p>
    <w:p w14:paraId="283A9154">
      <w:pPr>
        <w:spacing w:before="0" w:after="0"/>
        <w:ind w:firstLine="0"/>
      </w:pPr>
      <w:r>
        <w:rPr>
          <w:rFonts w:ascii="宋体" w:hAnsi="宋体" w:eastAsia="宋体"/>
          <w:sz w:val="21"/>
        </w:rPr>
        <w:t>17. 洪银兴. (2014). 产学研协同创新的经济学分析.</w:t>
      </w:r>
    </w:p>
    <w:p w14:paraId="2CB230C8">
      <w:pPr>
        <w:spacing w:before="0" w:after="0"/>
        <w:ind w:firstLine="0"/>
      </w:pPr>
      <w:r>
        <w:rPr>
          <w:rFonts w:ascii="宋体" w:hAnsi="宋体" w:eastAsia="宋体"/>
          <w:sz w:val="21"/>
        </w:rPr>
        <w:t>18. 原长弘, 张树满. (2019). 以企业为主体的产学研协同创新：管理框架构建. 科研管理, 40(10), 184-192.</w:t>
      </w:r>
    </w:p>
    <w:p w14:paraId="11A732DE">
      <w:pPr>
        <w:spacing w:before="0" w:after="0"/>
        <w:ind w:firstLine="0"/>
      </w:pPr>
      <w:r>
        <w:rPr>
          <w:rFonts w:ascii="宋体" w:hAnsi="宋体" w:eastAsia="宋体"/>
          <w:sz w:val="21"/>
        </w:rPr>
        <w:t>19. He, Y., &amp; Lyu, J. (2025). Export Controls and Innovation Transfer within Chinese Business Groups. *Research Policy*.</w:t>
      </w:r>
    </w:p>
    <w:p w14:paraId="32116980">
      <w:pPr>
        <w:spacing w:before="0" w:after="0"/>
        <w:ind w:firstLine="0"/>
      </w:pPr>
      <w:r>
        <w:rPr>
          <w:rFonts w:ascii="宋体" w:hAnsi="宋体" w:eastAsia="宋体"/>
          <w:sz w:val="21"/>
        </w:rPr>
        <w:t>20. Anwar, S., Hu, B., Luan, Q., &amp; Wang, K. (2024). Export Controls and Innovation Performance. *The World Economy*, 47, 2995-3033.</w:t>
      </w:r>
    </w:p>
    <w:p w14:paraId="6CA28059">
      <w:pPr>
        <w:spacing w:before="0" w:after="0"/>
        <w:ind w:firstLine="0"/>
      </w:pPr>
      <w:r>
        <w:rPr>
          <w:rFonts w:ascii="宋体" w:hAnsi="宋体" w:eastAsia="宋体"/>
          <w:sz w:val="21"/>
        </w:rPr>
        <w:t>21. 寇宗来等. (2023). 技术断供与自主创新激励：纵向结构的视角.</w:t>
      </w:r>
    </w:p>
    <w:p w14:paraId="162122B9">
      <w:pPr>
        <w:spacing w:before="0" w:after="0"/>
        <w:ind w:firstLine="0"/>
      </w:pPr>
      <w:r>
        <w:rPr>
          <w:rFonts w:ascii="宋体" w:hAnsi="宋体" w:eastAsia="宋体"/>
          <w:sz w:val="21"/>
        </w:rPr>
        <w:t>22. 郑世林等. (2025). 产业链风险与中国企业自主创新突破.</w:t>
      </w:r>
    </w:p>
    <w:p w14:paraId="24E54524">
      <w:pPr>
        <w:spacing w:before="0" w:after="0"/>
        <w:ind w:firstLine="0"/>
      </w:pPr>
      <w:r>
        <w:rPr>
          <w:rFonts w:ascii="宋体" w:hAnsi="宋体" w:eastAsia="宋体"/>
          <w:sz w:val="21"/>
        </w:rPr>
        <w:t>23. 柳卸林, 胡志坚. (2002). 中国区域创新能力的分布与成因. *科学学研究*, 20(5), 550-557.</w:t>
      </w:r>
    </w:p>
    <w:p w14:paraId="66A8F3F0">
      <w:pPr>
        <w:spacing w:before="0" w:after="0"/>
        <w:ind w:firstLine="0"/>
      </w:pPr>
      <w:r>
        <w:rPr>
          <w:rFonts w:ascii="宋体" w:hAnsi="宋体" w:eastAsia="宋体"/>
          <w:sz w:val="21"/>
        </w:rPr>
        <w:t>24. 吕铁. 政府干预何以有效：对中国高铁技术赶超的调查研究.</w:t>
      </w:r>
    </w:p>
    <w:p w14:paraId="780F85A2">
      <w:pPr>
        <w:spacing w:before="0" w:after="0"/>
        <w:ind w:firstLine="0"/>
      </w:pPr>
      <w:r>
        <w:rPr>
          <w:rFonts w:ascii="宋体" w:hAnsi="宋体" w:eastAsia="宋体"/>
          <w:sz w:val="21"/>
        </w:rPr>
        <w:t>25. 陈劲. 新型举国体制的理论逻辑、落地模式与应用场景.</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CB73AC"/>
    <w:rsid w:val="75606B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18738</Words>
  <Characters>20998</Characters>
  <Lines>0</Lines>
  <Paragraphs>0</Paragraphs>
  <TotalTime>0</TotalTime>
  <ScaleCrop>false</ScaleCrop>
  <LinksUpToDate>false</LinksUpToDate>
  <CharactersWithSpaces>21310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小王</cp:lastModifiedBy>
  <dcterms:modified xsi:type="dcterms:W3CDTF">2026-05-26T07:35:27Z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eyJoZGlkIjoiMjAyYjNhZDJjNDQ5OGI2NGEyM2JmNGY4ZDhiYzdhNGYiLCJ1c2VySWQiOiIxMzA2MjA4NjcxIn0=</vt:lpwstr>
  </property>
  <property fmtid="{D5CDD505-2E9C-101B-9397-08002B2CF9AE}" pid="3" name="KSOProductBuildVer">
    <vt:lpwstr>2052-12.1.0.26375</vt:lpwstr>
  </property>
  <property fmtid="{D5CDD505-2E9C-101B-9397-08002B2CF9AE}" pid="4" name="ICV">
    <vt:lpwstr>0168C8C4F9814D9FAC0993A38FA45C1C_12</vt:lpwstr>
  </property>
</Properties>
</file>